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E05FB">
      <w:pPr>
        <w:rPr>
          <w:rFonts w:hint="eastAsia" w:ascii="黑体" w:hAnsi="仿宋" w:eastAsia="黑体"/>
          <w:szCs w:val="32"/>
        </w:rPr>
      </w:pPr>
      <w:r>
        <w:rPr>
          <w:rFonts w:hint="eastAsia" w:ascii="黑体" w:hAnsi="仿宋" w:eastAsia="黑体"/>
          <w:szCs w:val="32"/>
        </w:rPr>
        <w:t>附件</w:t>
      </w:r>
    </w:p>
    <w:p w14:paraId="6796B5B1">
      <w:pPr>
        <w:snapToGrid w:val="0"/>
        <w:spacing w:line="600" w:lineRule="exact"/>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武平县人民政府办公室权责清单（2025年版）</w:t>
      </w:r>
    </w:p>
    <w:p w14:paraId="3B1DCD9A">
      <w:r>
        <w:rPr>
          <w:rFonts w:hint="eastAsia" w:ascii="仿宋_GB2312" w:hAnsi="宋体" w:cs="宋体"/>
          <w:b/>
          <w:bCs/>
          <w:kern w:val="0"/>
          <w:sz w:val="24"/>
        </w:rPr>
        <w:t>表一：行政监督检查（共1项）</w:t>
      </w:r>
    </w:p>
    <w:tbl>
      <w:tblPr>
        <w:tblStyle w:val="3"/>
        <w:tblW w:w="13703" w:type="dxa"/>
        <w:tblInd w:w="-176" w:type="dxa"/>
        <w:tblLayout w:type="autofit"/>
        <w:tblCellMar>
          <w:top w:w="0" w:type="dxa"/>
          <w:left w:w="108" w:type="dxa"/>
          <w:bottom w:w="0" w:type="dxa"/>
          <w:right w:w="108" w:type="dxa"/>
        </w:tblCellMar>
      </w:tblPr>
      <w:tblGrid>
        <w:gridCol w:w="622"/>
        <w:gridCol w:w="1757"/>
        <w:gridCol w:w="882"/>
        <w:gridCol w:w="6662"/>
        <w:gridCol w:w="851"/>
        <w:gridCol w:w="1538"/>
        <w:gridCol w:w="730"/>
        <w:gridCol w:w="661"/>
      </w:tblGrid>
      <w:tr w14:paraId="74A5D23C">
        <w:tblPrEx>
          <w:tblCellMar>
            <w:top w:w="0" w:type="dxa"/>
            <w:left w:w="108" w:type="dxa"/>
            <w:bottom w:w="0" w:type="dxa"/>
            <w:right w:w="108" w:type="dxa"/>
          </w:tblCellMar>
        </w:tblPrEx>
        <w:trPr>
          <w:trHeight w:val="722"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43057CAB">
            <w:pPr>
              <w:widowControl/>
              <w:spacing w:line="36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序号</w:t>
            </w:r>
          </w:p>
        </w:tc>
        <w:tc>
          <w:tcPr>
            <w:tcW w:w="1757" w:type="dxa"/>
            <w:tcBorders>
              <w:top w:val="single" w:color="auto" w:sz="4" w:space="0"/>
              <w:left w:val="nil"/>
              <w:bottom w:val="single" w:color="auto" w:sz="4" w:space="0"/>
              <w:right w:val="single" w:color="auto" w:sz="4" w:space="0"/>
            </w:tcBorders>
            <w:noWrap w:val="0"/>
            <w:vAlign w:val="center"/>
          </w:tcPr>
          <w:p w14:paraId="28D64902">
            <w:pPr>
              <w:widowControl/>
              <w:spacing w:line="36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权责事项</w:t>
            </w:r>
          </w:p>
        </w:tc>
        <w:tc>
          <w:tcPr>
            <w:tcW w:w="882" w:type="dxa"/>
            <w:tcBorders>
              <w:top w:val="single" w:color="auto" w:sz="4" w:space="0"/>
              <w:left w:val="nil"/>
              <w:bottom w:val="single" w:color="auto" w:sz="4" w:space="0"/>
              <w:right w:val="single" w:color="auto" w:sz="4" w:space="0"/>
            </w:tcBorders>
            <w:noWrap w:val="0"/>
            <w:vAlign w:val="center"/>
          </w:tcPr>
          <w:p w14:paraId="6DC98792">
            <w:pPr>
              <w:widowControl/>
              <w:spacing w:line="36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子项名称</w:t>
            </w:r>
          </w:p>
        </w:tc>
        <w:tc>
          <w:tcPr>
            <w:tcW w:w="6662" w:type="dxa"/>
            <w:tcBorders>
              <w:top w:val="single" w:color="auto" w:sz="4" w:space="0"/>
              <w:left w:val="nil"/>
              <w:bottom w:val="single" w:color="auto" w:sz="4" w:space="0"/>
              <w:right w:val="single" w:color="auto" w:sz="4" w:space="0"/>
            </w:tcBorders>
            <w:noWrap w:val="0"/>
            <w:vAlign w:val="center"/>
          </w:tcPr>
          <w:p w14:paraId="43F00F42">
            <w:pPr>
              <w:widowControl/>
              <w:spacing w:line="36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设定依据</w:t>
            </w:r>
          </w:p>
        </w:tc>
        <w:tc>
          <w:tcPr>
            <w:tcW w:w="851" w:type="dxa"/>
            <w:tcBorders>
              <w:top w:val="single" w:color="auto" w:sz="4" w:space="0"/>
              <w:left w:val="nil"/>
              <w:bottom w:val="single" w:color="auto" w:sz="4" w:space="0"/>
              <w:right w:val="single" w:color="auto" w:sz="4" w:space="0"/>
            </w:tcBorders>
            <w:noWrap w:val="0"/>
            <w:vAlign w:val="center"/>
          </w:tcPr>
          <w:p w14:paraId="1E7B2DE7">
            <w:pPr>
              <w:widowControl/>
              <w:spacing w:line="36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事项类别</w:t>
            </w:r>
          </w:p>
        </w:tc>
        <w:tc>
          <w:tcPr>
            <w:tcW w:w="1538" w:type="dxa"/>
            <w:tcBorders>
              <w:top w:val="single" w:color="auto" w:sz="4" w:space="0"/>
              <w:left w:val="nil"/>
              <w:bottom w:val="single" w:color="auto" w:sz="4" w:space="0"/>
              <w:right w:val="single" w:color="auto" w:sz="4" w:space="0"/>
            </w:tcBorders>
            <w:noWrap w:val="0"/>
            <w:vAlign w:val="center"/>
          </w:tcPr>
          <w:p w14:paraId="25942E69">
            <w:pPr>
              <w:widowControl/>
              <w:spacing w:line="36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内设机构或责任单位</w:t>
            </w:r>
          </w:p>
        </w:tc>
        <w:tc>
          <w:tcPr>
            <w:tcW w:w="730" w:type="dxa"/>
            <w:tcBorders>
              <w:top w:val="single" w:color="auto" w:sz="4" w:space="0"/>
              <w:left w:val="nil"/>
              <w:bottom w:val="single" w:color="auto" w:sz="4" w:space="0"/>
              <w:right w:val="single" w:color="auto" w:sz="4" w:space="0"/>
            </w:tcBorders>
            <w:noWrap w:val="0"/>
            <w:vAlign w:val="center"/>
          </w:tcPr>
          <w:p w14:paraId="0AE28BD8">
            <w:pPr>
              <w:widowControl/>
              <w:spacing w:line="36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行使层级</w:t>
            </w:r>
          </w:p>
        </w:tc>
        <w:tc>
          <w:tcPr>
            <w:tcW w:w="661" w:type="dxa"/>
            <w:tcBorders>
              <w:top w:val="single" w:color="auto" w:sz="4" w:space="0"/>
              <w:left w:val="nil"/>
              <w:bottom w:val="single" w:color="auto" w:sz="4" w:space="0"/>
              <w:right w:val="single" w:color="auto" w:sz="4" w:space="0"/>
            </w:tcBorders>
            <w:noWrap w:val="0"/>
            <w:vAlign w:val="center"/>
          </w:tcPr>
          <w:p w14:paraId="3C54305C">
            <w:pPr>
              <w:widowControl/>
              <w:spacing w:line="36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备注</w:t>
            </w:r>
          </w:p>
        </w:tc>
      </w:tr>
      <w:tr w14:paraId="51E12C13">
        <w:tblPrEx>
          <w:tblCellMar>
            <w:top w:w="0" w:type="dxa"/>
            <w:left w:w="108" w:type="dxa"/>
            <w:bottom w:w="0" w:type="dxa"/>
            <w:right w:w="108" w:type="dxa"/>
          </w:tblCellMar>
        </w:tblPrEx>
        <w:trPr>
          <w:trHeight w:val="5794" w:hRule="atLeast"/>
        </w:trPr>
        <w:tc>
          <w:tcPr>
            <w:tcW w:w="622" w:type="dxa"/>
            <w:tcBorders>
              <w:top w:val="nil"/>
              <w:left w:val="single" w:color="auto" w:sz="4" w:space="0"/>
              <w:bottom w:val="single" w:color="auto" w:sz="4" w:space="0"/>
              <w:right w:val="single" w:color="auto" w:sz="4" w:space="0"/>
            </w:tcBorders>
            <w:noWrap w:val="0"/>
            <w:vAlign w:val="center"/>
          </w:tcPr>
          <w:p w14:paraId="0289114F">
            <w:pPr>
              <w:widowControl/>
              <w:spacing w:line="300" w:lineRule="exact"/>
              <w:jc w:val="center"/>
              <w:rPr>
                <w:rFonts w:hint="eastAsia" w:ascii="仿宋_GB2312" w:hAnsi="宋体" w:cs="宋体"/>
                <w:kern w:val="0"/>
                <w:sz w:val="21"/>
                <w:szCs w:val="21"/>
              </w:rPr>
            </w:pPr>
            <w:r>
              <w:rPr>
                <w:rFonts w:hint="eastAsia" w:ascii="仿宋_GB2312" w:hAnsi="宋体" w:cs="宋体"/>
                <w:kern w:val="0"/>
                <w:sz w:val="21"/>
                <w:szCs w:val="21"/>
              </w:rPr>
              <w:t>1</w:t>
            </w:r>
          </w:p>
        </w:tc>
        <w:tc>
          <w:tcPr>
            <w:tcW w:w="1757" w:type="dxa"/>
            <w:tcBorders>
              <w:top w:val="nil"/>
              <w:left w:val="nil"/>
              <w:bottom w:val="single" w:color="auto" w:sz="4" w:space="0"/>
              <w:right w:val="single" w:color="auto" w:sz="4" w:space="0"/>
            </w:tcBorders>
            <w:noWrap w:val="0"/>
            <w:vAlign w:val="center"/>
          </w:tcPr>
          <w:p w14:paraId="1EED1829">
            <w:pPr>
              <w:widowControl/>
              <w:spacing w:line="300" w:lineRule="exact"/>
              <w:rPr>
                <w:rFonts w:hint="eastAsia" w:ascii="仿宋_GB2312" w:hAnsi="宋体" w:cs="宋体"/>
                <w:kern w:val="0"/>
                <w:sz w:val="21"/>
                <w:szCs w:val="21"/>
              </w:rPr>
            </w:pPr>
            <w:r>
              <w:rPr>
                <w:rFonts w:hint="eastAsia" w:ascii="仿宋_GB2312" w:hAnsi="宋体" w:cs="宋体"/>
                <w:kern w:val="0"/>
                <w:sz w:val="21"/>
                <w:szCs w:val="21"/>
              </w:rPr>
              <w:t>公共机构节能监督检查</w:t>
            </w:r>
          </w:p>
        </w:tc>
        <w:tc>
          <w:tcPr>
            <w:tcW w:w="882" w:type="dxa"/>
            <w:tcBorders>
              <w:top w:val="nil"/>
              <w:left w:val="nil"/>
              <w:bottom w:val="single" w:color="auto" w:sz="4" w:space="0"/>
              <w:right w:val="single" w:color="auto" w:sz="4" w:space="0"/>
            </w:tcBorders>
            <w:noWrap w:val="0"/>
            <w:vAlign w:val="center"/>
          </w:tcPr>
          <w:p w14:paraId="2109F7D1">
            <w:pPr>
              <w:widowControl/>
              <w:spacing w:line="30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662" w:type="dxa"/>
            <w:tcBorders>
              <w:top w:val="nil"/>
              <w:left w:val="nil"/>
              <w:bottom w:val="single" w:color="auto" w:sz="4" w:space="0"/>
              <w:right w:val="single" w:color="auto" w:sz="4" w:space="0"/>
            </w:tcBorders>
            <w:noWrap w:val="0"/>
            <w:vAlign w:val="center"/>
          </w:tcPr>
          <w:p w14:paraId="46F51981">
            <w:pPr>
              <w:widowControl/>
              <w:spacing w:line="260" w:lineRule="exact"/>
              <w:rPr>
                <w:rFonts w:hint="eastAsia" w:ascii="仿宋_GB2312" w:hAnsi="宋体" w:cs="宋体"/>
                <w:kern w:val="0"/>
                <w:sz w:val="21"/>
                <w:szCs w:val="21"/>
              </w:rPr>
            </w:pPr>
            <w:r>
              <w:rPr>
                <w:rFonts w:hint="eastAsia" w:ascii="仿宋_GB2312" w:hAnsi="宋体" w:cs="宋体"/>
                <w:kern w:val="0"/>
                <w:sz w:val="21"/>
                <w:szCs w:val="21"/>
              </w:rPr>
              <w:t xml:space="preserve">    1.《节约能源法》</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第十条第二款  县级以上地方各级人民政府管理节能工作的部门负责本行政区域内的节能监督工作。县级以上地方各级人民政府有关部门在各自的职能范围内负责节能监督管理工作，并接受同级管理节能工作的部门的指导。</w:t>
            </w:r>
            <w:r>
              <w:rPr>
                <w:rFonts w:hint="eastAsia" w:ascii="仿宋_GB2312" w:hAnsi="宋体" w:cs="宋体"/>
                <w:kern w:val="0"/>
                <w:sz w:val="21"/>
                <w:szCs w:val="21"/>
              </w:rPr>
              <w:br w:type="textWrapping"/>
            </w:r>
            <w:r>
              <w:rPr>
                <w:rFonts w:hint="eastAsia" w:ascii="仿宋_GB2312" w:hAnsi="宋体" w:cs="宋体"/>
                <w:kern w:val="0"/>
                <w:sz w:val="21"/>
                <w:szCs w:val="21"/>
              </w:rPr>
              <w:t xml:space="preserve">    2.《公共机构节能条例》（国务院令第531号公布，国务院令第676号修订）</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第三十五条  国务院和县级以上地方各级人民政府管理机关事务工作的机构应会同有关部门加强对本级公共机构节能的监督检查。监督检查的内容包括：</w:t>
            </w:r>
            <w:r>
              <w:rPr>
                <w:rFonts w:hint="eastAsia" w:ascii="仿宋_GB2312" w:hAnsi="宋体" w:cs="宋体"/>
                <w:kern w:val="0"/>
                <w:sz w:val="21"/>
                <w:szCs w:val="21"/>
              </w:rPr>
              <w:br w:type="textWrapping"/>
            </w:r>
            <w:r>
              <w:rPr>
                <w:rFonts w:hint="eastAsia" w:ascii="仿宋_GB2312" w:hAnsi="宋体" w:cs="宋体"/>
                <w:kern w:val="0"/>
                <w:sz w:val="21"/>
                <w:szCs w:val="21"/>
              </w:rPr>
              <w:t xml:space="preserve">   （一）年度节能目标和实施方案的制定、落实情况；</w:t>
            </w:r>
            <w:r>
              <w:rPr>
                <w:rFonts w:hint="eastAsia" w:ascii="仿宋_GB2312" w:hAnsi="宋体" w:cs="宋体"/>
                <w:kern w:val="0"/>
                <w:sz w:val="21"/>
                <w:szCs w:val="21"/>
              </w:rPr>
              <w:br w:type="textWrapping"/>
            </w:r>
            <w:r>
              <w:rPr>
                <w:rFonts w:hint="eastAsia" w:ascii="仿宋_GB2312" w:hAnsi="宋体" w:cs="宋体"/>
                <w:kern w:val="0"/>
                <w:sz w:val="21"/>
                <w:szCs w:val="21"/>
              </w:rPr>
              <w:t xml:space="preserve">   （二）能源消费计量、监测和统计情况；</w:t>
            </w:r>
            <w:r>
              <w:rPr>
                <w:rFonts w:hint="eastAsia" w:ascii="仿宋_GB2312" w:hAnsi="宋体" w:cs="宋体"/>
                <w:kern w:val="0"/>
                <w:sz w:val="21"/>
                <w:szCs w:val="21"/>
              </w:rPr>
              <w:br w:type="textWrapping"/>
            </w:r>
            <w:r>
              <w:rPr>
                <w:rFonts w:hint="eastAsia" w:ascii="仿宋_GB2312" w:hAnsi="宋体" w:cs="宋体"/>
                <w:kern w:val="0"/>
                <w:sz w:val="21"/>
                <w:szCs w:val="21"/>
              </w:rPr>
              <w:t xml:space="preserve">   （三）能源消耗定额执行情况；</w:t>
            </w:r>
            <w:r>
              <w:rPr>
                <w:rFonts w:hint="eastAsia" w:ascii="仿宋_GB2312" w:hAnsi="宋体" w:cs="宋体"/>
                <w:kern w:val="0"/>
                <w:sz w:val="21"/>
                <w:szCs w:val="21"/>
              </w:rPr>
              <w:br w:type="textWrapping"/>
            </w:r>
            <w:r>
              <w:rPr>
                <w:rFonts w:hint="eastAsia" w:ascii="仿宋_GB2312" w:hAnsi="宋体" w:cs="宋体"/>
                <w:kern w:val="0"/>
                <w:sz w:val="21"/>
                <w:szCs w:val="21"/>
              </w:rPr>
              <w:t xml:space="preserve">   （四）节能管理规章制度建立情况；</w:t>
            </w:r>
            <w:r>
              <w:rPr>
                <w:rFonts w:hint="eastAsia" w:ascii="仿宋_GB2312" w:hAnsi="宋体" w:cs="宋体"/>
                <w:kern w:val="0"/>
                <w:sz w:val="21"/>
                <w:szCs w:val="21"/>
              </w:rPr>
              <w:br w:type="textWrapping"/>
            </w:r>
            <w:r>
              <w:rPr>
                <w:rFonts w:hint="eastAsia" w:ascii="仿宋_GB2312" w:hAnsi="宋体" w:cs="宋体"/>
                <w:kern w:val="0"/>
                <w:sz w:val="21"/>
                <w:szCs w:val="21"/>
              </w:rPr>
              <w:t xml:space="preserve">   （五）能源管理岗位设置以及能源管理岗位责任制落实情况；</w:t>
            </w:r>
            <w:r>
              <w:rPr>
                <w:rFonts w:hint="eastAsia" w:ascii="仿宋_GB2312" w:hAnsi="宋体" w:cs="宋体"/>
                <w:kern w:val="0"/>
                <w:sz w:val="21"/>
                <w:szCs w:val="21"/>
              </w:rPr>
              <w:br w:type="textWrapping"/>
            </w:r>
            <w:r>
              <w:rPr>
                <w:rFonts w:hint="eastAsia" w:ascii="仿宋_GB2312" w:hAnsi="宋体" w:cs="宋体"/>
                <w:kern w:val="0"/>
                <w:sz w:val="21"/>
                <w:szCs w:val="21"/>
              </w:rPr>
              <w:t xml:space="preserve">   （六）用能系统、设备节能运行情况；</w:t>
            </w:r>
            <w:r>
              <w:rPr>
                <w:rFonts w:hint="eastAsia" w:ascii="仿宋_GB2312" w:hAnsi="宋体" w:cs="宋体"/>
                <w:kern w:val="0"/>
                <w:sz w:val="21"/>
                <w:szCs w:val="21"/>
              </w:rPr>
              <w:br w:type="textWrapping"/>
            </w:r>
            <w:r>
              <w:rPr>
                <w:rFonts w:hint="eastAsia" w:ascii="仿宋_GB2312" w:hAnsi="宋体" w:cs="宋体"/>
                <w:kern w:val="0"/>
                <w:sz w:val="21"/>
                <w:szCs w:val="21"/>
              </w:rPr>
              <w:t xml:space="preserve">   （七）开展能源审计情况；</w:t>
            </w:r>
            <w:r>
              <w:rPr>
                <w:rFonts w:hint="eastAsia" w:ascii="仿宋_GB2312" w:hAnsi="宋体" w:cs="宋体"/>
                <w:kern w:val="0"/>
                <w:sz w:val="21"/>
                <w:szCs w:val="21"/>
              </w:rPr>
              <w:br w:type="textWrapping"/>
            </w:r>
            <w:r>
              <w:rPr>
                <w:rFonts w:hint="eastAsia" w:ascii="仿宋_GB2312" w:hAnsi="宋体" w:cs="宋体"/>
                <w:kern w:val="0"/>
                <w:sz w:val="21"/>
                <w:szCs w:val="21"/>
              </w:rPr>
              <w:t xml:space="preserve">   （八）公务用车配备、使用情况。</w:t>
            </w:r>
            <w:r>
              <w:rPr>
                <w:rFonts w:hint="eastAsia" w:ascii="仿宋_GB2312" w:hAnsi="宋体" w:cs="宋体"/>
                <w:kern w:val="0"/>
                <w:sz w:val="21"/>
                <w:szCs w:val="21"/>
              </w:rPr>
              <w:br w:type="textWrapping"/>
            </w:r>
            <w:r>
              <w:rPr>
                <w:rFonts w:hint="eastAsia" w:ascii="仿宋_GB2312" w:hAnsi="宋体" w:cs="宋体"/>
                <w:kern w:val="0"/>
                <w:sz w:val="21"/>
                <w:szCs w:val="21"/>
              </w:rPr>
              <w:t xml:space="preserve">   对于节能规章制度不健全、超过能源消耗定额使用情况严重的公共机构，应当进行重点监督检查。</w:t>
            </w:r>
          </w:p>
        </w:tc>
        <w:tc>
          <w:tcPr>
            <w:tcW w:w="851" w:type="dxa"/>
            <w:tcBorders>
              <w:top w:val="nil"/>
              <w:left w:val="nil"/>
              <w:bottom w:val="single" w:color="auto" w:sz="4" w:space="0"/>
              <w:right w:val="single" w:color="auto" w:sz="4" w:space="0"/>
            </w:tcBorders>
            <w:noWrap w:val="0"/>
            <w:vAlign w:val="center"/>
          </w:tcPr>
          <w:p w14:paraId="5CFE560D">
            <w:pPr>
              <w:widowControl/>
              <w:spacing w:line="280" w:lineRule="exact"/>
              <w:jc w:val="center"/>
              <w:rPr>
                <w:rFonts w:ascii="仿宋_GB2312" w:hAnsi="宋体" w:cs="宋体"/>
                <w:kern w:val="0"/>
                <w:sz w:val="21"/>
                <w:szCs w:val="21"/>
              </w:rPr>
            </w:pPr>
            <w:r>
              <w:rPr>
                <w:rFonts w:hint="eastAsia" w:ascii="仿宋_GB2312" w:hAnsi="宋体" w:cs="宋体"/>
                <w:kern w:val="0"/>
                <w:sz w:val="21"/>
                <w:szCs w:val="21"/>
              </w:rPr>
              <w:t>行政监督检查</w:t>
            </w:r>
          </w:p>
        </w:tc>
        <w:tc>
          <w:tcPr>
            <w:tcW w:w="1538" w:type="dxa"/>
            <w:tcBorders>
              <w:top w:val="nil"/>
              <w:left w:val="nil"/>
              <w:bottom w:val="single" w:color="auto" w:sz="4" w:space="0"/>
              <w:right w:val="single" w:color="auto" w:sz="4" w:space="0"/>
            </w:tcBorders>
            <w:noWrap w:val="0"/>
            <w:vAlign w:val="center"/>
          </w:tcPr>
          <w:p w14:paraId="14C4B4A7">
            <w:pPr>
              <w:widowControl/>
              <w:spacing w:line="30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730" w:type="dxa"/>
            <w:tcBorders>
              <w:top w:val="nil"/>
              <w:left w:val="nil"/>
              <w:bottom w:val="single" w:color="auto" w:sz="4" w:space="0"/>
              <w:right w:val="single" w:color="auto" w:sz="4" w:space="0"/>
            </w:tcBorders>
            <w:noWrap w:val="0"/>
            <w:vAlign w:val="center"/>
          </w:tcPr>
          <w:p w14:paraId="0FD6786A">
            <w:pPr>
              <w:widowControl/>
              <w:spacing w:line="30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661" w:type="dxa"/>
            <w:tcBorders>
              <w:top w:val="nil"/>
              <w:left w:val="nil"/>
              <w:bottom w:val="single" w:color="auto" w:sz="4" w:space="0"/>
              <w:right w:val="single" w:color="auto" w:sz="4" w:space="0"/>
            </w:tcBorders>
            <w:noWrap w:val="0"/>
            <w:vAlign w:val="center"/>
          </w:tcPr>
          <w:p w14:paraId="4EBCD1F8">
            <w:pPr>
              <w:widowControl/>
              <w:spacing w:line="300" w:lineRule="exact"/>
              <w:rPr>
                <w:rFonts w:hint="eastAsia" w:ascii="仿宋_GB2312" w:hAnsi="宋体" w:cs="宋体"/>
                <w:kern w:val="0"/>
                <w:sz w:val="21"/>
                <w:szCs w:val="21"/>
              </w:rPr>
            </w:pPr>
            <w:r>
              <w:rPr>
                <w:rFonts w:hint="eastAsia" w:ascii="仿宋_GB2312" w:hAnsi="宋体" w:cs="宋体"/>
                <w:kern w:val="0"/>
                <w:sz w:val="21"/>
                <w:szCs w:val="21"/>
              </w:rPr>
              <w:t>　</w:t>
            </w:r>
          </w:p>
        </w:tc>
      </w:tr>
    </w:tbl>
    <w:p w14:paraId="78AC97BE">
      <w:pPr>
        <w:rPr>
          <w:rFonts w:hint="eastAsia" w:ascii="仿宋_GB2312" w:hAnsi="宋体" w:cs="宋体"/>
          <w:b/>
          <w:bCs/>
          <w:kern w:val="0"/>
          <w:sz w:val="21"/>
          <w:szCs w:val="21"/>
        </w:rPr>
      </w:pPr>
    </w:p>
    <w:p w14:paraId="76295D8B">
      <w:r>
        <w:rPr>
          <w:rFonts w:hint="eastAsia" w:ascii="仿宋_GB2312" w:hAnsi="宋体" w:cs="宋体"/>
          <w:b/>
          <w:bCs/>
          <w:kern w:val="0"/>
          <w:sz w:val="21"/>
          <w:szCs w:val="21"/>
        </w:rPr>
        <w:t>表二：其他权责事项（共23项）</w:t>
      </w:r>
    </w:p>
    <w:tbl>
      <w:tblPr>
        <w:tblStyle w:val="3"/>
        <w:tblW w:w="13703" w:type="dxa"/>
        <w:tblInd w:w="-176" w:type="dxa"/>
        <w:tblLayout w:type="autofit"/>
        <w:tblCellMar>
          <w:top w:w="0" w:type="dxa"/>
          <w:left w:w="108" w:type="dxa"/>
          <w:bottom w:w="0" w:type="dxa"/>
          <w:right w:w="108" w:type="dxa"/>
        </w:tblCellMar>
      </w:tblPr>
      <w:tblGrid>
        <w:gridCol w:w="622"/>
        <w:gridCol w:w="1757"/>
        <w:gridCol w:w="783"/>
        <w:gridCol w:w="6351"/>
        <w:gridCol w:w="850"/>
        <w:gridCol w:w="1701"/>
        <w:gridCol w:w="851"/>
        <w:gridCol w:w="788"/>
      </w:tblGrid>
      <w:tr w14:paraId="0A932A00">
        <w:tblPrEx>
          <w:tblCellMar>
            <w:top w:w="0" w:type="dxa"/>
            <w:left w:w="108" w:type="dxa"/>
            <w:bottom w:w="0" w:type="dxa"/>
            <w:right w:w="108" w:type="dxa"/>
          </w:tblCellMar>
        </w:tblPrEx>
        <w:trPr>
          <w:trHeight w:val="812" w:hRule="atLeast"/>
          <w:tblHeader/>
        </w:trPr>
        <w:tc>
          <w:tcPr>
            <w:tcW w:w="622" w:type="dxa"/>
            <w:tcBorders>
              <w:top w:val="single" w:color="auto" w:sz="4" w:space="0"/>
              <w:left w:val="single" w:color="auto" w:sz="4" w:space="0"/>
              <w:bottom w:val="single" w:color="auto" w:sz="4" w:space="0"/>
              <w:right w:val="single" w:color="auto" w:sz="4" w:space="0"/>
            </w:tcBorders>
            <w:noWrap w:val="0"/>
            <w:vAlign w:val="center"/>
          </w:tcPr>
          <w:p w14:paraId="348B6D1A">
            <w:pPr>
              <w:widowControl/>
              <w:spacing w:line="30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序号</w:t>
            </w:r>
          </w:p>
        </w:tc>
        <w:tc>
          <w:tcPr>
            <w:tcW w:w="1757" w:type="dxa"/>
            <w:tcBorders>
              <w:top w:val="single" w:color="auto" w:sz="4" w:space="0"/>
              <w:left w:val="nil"/>
              <w:bottom w:val="single" w:color="auto" w:sz="4" w:space="0"/>
              <w:right w:val="single" w:color="auto" w:sz="4" w:space="0"/>
            </w:tcBorders>
            <w:noWrap w:val="0"/>
            <w:vAlign w:val="center"/>
          </w:tcPr>
          <w:p w14:paraId="5A4AD7AF">
            <w:pPr>
              <w:widowControl/>
              <w:spacing w:line="30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权责事项</w:t>
            </w:r>
          </w:p>
        </w:tc>
        <w:tc>
          <w:tcPr>
            <w:tcW w:w="783" w:type="dxa"/>
            <w:tcBorders>
              <w:top w:val="single" w:color="auto" w:sz="4" w:space="0"/>
              <w:left w:val="nil"/>
              <w:bottom w:val="single" w:color="auto" w:sz="4" w:space="0"/>
              <w:right w:val="single" w:color="auto" w:sz="4" w:space="0"/>
            </w:tcBorders>
            <w:noWrap w:val="0"/>
            <w:vAlign w:val="center"/>
          </w:tcPr>
          <w:p w14:paraId="526EFA60">
            <w:pPr>
              <w:widowControl/>
              <w:spacing w:line="30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子项名称</w:t>
            </w:r>
          </w:p>
        </w:tc>
        <w:tc>
          <w:tcPr>
            <w:tcW w:w="6351" w:type="dxa"/>
            <w:tcBorders>
              <w:top w:val="single" w:color="auto" w:sz="4" w:space="0"/>
              <w:left w:val="nil"/>
              <w:bottom w:val="single" w:color="auto" w:sz="4" w:space="0"/>
              <w:right w:val="single" w:color="auto" w:sz="4" w:space="0"/>
            </w:tcBorders>
            <w:noWrap w:val="0"/>
            <w:vAlign w:val="center"/>
          </w:tcPr>
          <w:p w14:paraId="640DBF71">
            <w:pPr>
              <w:widowControl/>
              <w:spacing w:line="30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设定依据</w:t>
            </w:r>
          </w:p>
        </w:tc>
        <w:tc>
          <w:tcPr>
            <w:tcW w:w="850" w:type="dxa"/>
            <w:tcBorders>
              <w:top w:val="single" w:color="auto" w:sz="4" w:space="0"/>
              <w:left w:val="nil"/>
              <w:bottom w:val="single" w:color="auto" w:sz="4" w:space="0"/>
              <w:right w:val="single" w:color="auto" w:sz="4" w:space="0"/>
            </w:tcBorders>
            <w:noWrap w:val="0"/>
            <w:vAlign w:val="center"/>
          </w:tcPr>
          <w:p w14:paraId="29B7C9D2">
            <w:pPr>
              <w:widowControl/>
              <w:spacing w:line="30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事项类别</w:t>
            </w:r>
          </w:p>
        </w:tc>
        <w:tc>
          <w:tcPr>
            <w:tcW w:w="1701" w:type="dxa"/>
            <w:tcBorders>
              <w:top w:val="single" w:color="auto" w:sz="4" w:space="0"/>
              <w:left w:val="nil"/>
              <w:bottom w:val="single" w:color="auto" w:sz="4" w:space="0"/>
              <w:right w:val="single" w:color="auto" w:sz="4" w:space="0"/>
            </w:tcBorders>
            <w:noWrap w:val="0"/>
            <w:vAlign w:val="center"/>
          </w:tcPr>
          <w:p w14:paraId="0C5D1BA1">
            <w:pPr>
              <w:widowControl/>
              <w:spacing w:line="30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内设机构或</w:t>
            </w:r>
          </w:p>
          <w:p w14:paraId="4E46CA5C">
            <w:pPr>
              <w:widowControl/>
              <w:spacing w:line="30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责任单位</w:t>
            </w:r>
          </w:p>
        </w:tc>
        <w:tc>
          <w:tcPr>
            <w:tcW w:w="851" w:type="dxa"/>
            <w:tcBorders>
              <w:top w:val="single" w:color="auto" w:sz="4" w:space="0"/>
              <w:left w:val="nil"/>
              <w:bottom w:val="single" w:color="auto" w:sz="4" w:space="0"/>
              <w:right w:val="single" w:color="auto" w:sz="4" w:space="0"/>
            </w:tcBorders>
            <w:noWrap w:val="0"/>
            <w:vAlign w:val="center"/>
          </w:tcPr>
          <w:p w14:paraId="71CE72FD">
            <w:pPr>
              <w:widowControl/>
              <w:spacing w:line="30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行使层级</w:t>
            </w:r>
          </w:p>
        </w:tc>
        <w:tc>
          <w:tcPr>
            <w:tcW w:w="788" w:type="dxa"/>
            <w:tcBorders>
              <w:top w:val="single" w:color="auto" w:sz="4" w:space="0"/>
              <w:left w:val="nil"/>
              <w:bottom w:val="single" w:color="auto" w:sz="4" w:space="0"/>
              <w:right w:val="single" w:color="auto" w:sz="4" w:space="0"/>
            </w:tcBorders>
            <w:noWrap w:val="0"/>
            <w:vAlign w:val="center"/>
          </w:tcPr>
          <w:p w14:paraId="33C6605B">
            <w:pPr>
              <w:widowControl/>
              <w:spacing w:line="300" w:lineRule="exact"/>
              <w:jc w:val="center"/>
              <w:rPr>
                <w:rFonts w:hint="eastAsia" w:ascii="仿宋_GB2312" w:hAnsi="宋体" w:cs="宋体"/>
                <w:b/>
                <w:bCs/>
                <w:kern w:val="0"/>
                <w:sz w:val="21"/>
                <w:szCs w:val="21"/>
              </w:rPr>
            </w:pPr>
            <w:r>
              <w:rPr>
                <w:rFonts w:hint="eastAsia" w:ascii="仿宋_GB2312" w:hAnsi="宋体" w:cs="宋体"/>
                <w:b/>
                <w:bCs/>
                <w:kern w:val="0"/>
                <w:sz w:val="21"/>
                <w:szCs w:val="21"/>
              </w:rPr>
              <w:t>备注</w:t>
            </w:r>
          </w:p>
        </w:tc>
      </w:tr>
      <w:tr w14:paraId="0D089CC6">
        <w:tblPrEx>
          <w:tblCellMar>
            <w:top w:w="0" w:type="dxa"/>
            <w:left w:w="108" w:type="dxa"/>
            <w:bottom w:w="0" w:type="dxa"/>
            <w:right w:w="108" w:type="dxa"/>
          </w:tblCellMar>
        </w:tblPrEx>
        <w:trPr>
          <w:trHeight w:val="1240" w:hRule="atLeast"/>
        </w:trPr>
        <w:tc>
          <w:tcPr>
            <w:tcW w:w="622" w:type="dxa"/>
            <w:tcBorders>
              <w:top w:val="nil"/>
              <w:left w:val="single" w:color="auto" w:sz="4" w:space="0"/>
              <w:bottom w:val="single" w:color="auto" w:sz="4" w:space="0"/>
              <w:right w:val="single" w:color="auto" w:sz="4" w:space="0"/>
            </w:tcBorders>
            <w:noWrap w:val="0"/>
            <w:vAlign w:val="center"/>
          </w:tcPr>
          <w:p w14:paraId="4CCA4376">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1</w:t>
            </w:r>
          </w:p>
        </w:tc>
        <w:tc>
          <w:tcPr>
            <w:tcW w:w="1757" w:type="dxa"/>
            <w:tcBorders>
              <w:top w:val="nil"/>
              <w:left w:val="nil"/>
              <w:bottom w:val="single" w:color="auto" w:sz="4" w:space="0"/>
              <w:right w:val="single" w:color="auto" w:sz="4" w:space="0"/>
            </w:tcBorders>
            <w:noWrap w:val="0"/>
            <w:vAlign w:val="center"/>
          </w:tcPr>
          <w:p w14:paraId="12B329A6">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推进、指导、协调公共机构节能工作</w:t>
            </w:r>
          </w:p>
        </w:tc>
        <w:tc>
          <w:tcPr>
            <w:tcW w:w="783" w:type="dxa"/>
            <w:tcBorders>
              <w:top w:val="nil"/>
              <w:left w:val="nil"/>
              <w:bottom w:val="single" w:color="auto" w:sz="4" w:space="0"/>
              <w:right w:val="single" w:color="auto" w:sz="4" w:space="0"/>
            </w:tcBorders>
            <w:noWrap w:val="0"/>
            <w:vAlign w:val="center"/>
          </w:tcPr>
          <w:p w14:paraId="031525D9">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nil"/>
              <w:left w:val="nil"/>
              <w:bottom w:val="single" w:color="auto" w:sz="4" w:space="0"/>
              <w:right w:val="single" w:color="auto" w:sz="4" w:space="0"/>
            </w:tcBorders>
            <w:noWrap w:val="0"/>
            <w:vAlign w:val="center"/>
          </w:tcPr>
          <w:p w14:paraId="7766BE7B">
            <w:pPr>
              <w:widowControl/>
              <w:spacing w:line="220" w:lineRule="exact"/>
              <w:rPr>
                <w:rFonts w:hint="eastAsia" w:ascii="仿宋_GB2312" w:hAnsi="宋体" w:cs="宋体"/>
                <w:kern w:val="0"/>
                <w:sz w:val="21"/>
                <w:szCs w:val="21"/>
              </w:rPr>
            </w:pPr>
            <w:r>
              <w:rPr>
                <w:rFonts w:hint="eastAsia" w:ascii="仿宋_GB2312" w:hAnsi="宋体" w:cs="宋体"/>
                <w:kern w:val="0"/>
                <w:sz w:val="21"/>
                <w:szCs w:val="21"/>
              </w:rPr>
              <w:t xml:space="preserve">    《</w:t>
            </w:r>
            <w:r>
              <w:rPr>
                <w:rFonts w:ascii="仿宋_GB2312" w:hAnsi="宋体" w:cs="宋体"/>
                <w:kern w:val="0"/>
                <w:sz w:val="21"/>
                <w:szCs w:val="21"/>
              </w:rPr>
              <w:t>中共武平县委办公室 武平县人民政府办公室关于印发</w:t>
            </w:r>
            <w:r>
              <w:rPr>
                <w:rFonts w:hint="eastAsia" w:ascii="仿宋_GB2312" w:hAnsi="宋体" w:cs="宋体"/>
                <w:kern w:val="0"/>
                <w:sz w:val="21"/>
                <w:szCs w:val="21"/>
              </w:rPr>
              <w:t>〈</w:t>
            </w:r>
            <w:r>
              <w:rPr>
                <w:rFonts w:ascii="仿宋_GB2312" w:hAnsi="宋体" w:cs="宋体"/>
                <w:kern w:val="0"/>
                <w:sz w:val="21"/>
                <w:szCs w:val="21"/>
              </w:rPr>
              <w:t>武平县人民政府办公室职能配置、内设机构和人员编制规定</w:t>
            </w:r>
            <w:r>
              <w:rPr>
                <w:rFonts w:hint="eastAsia" w:ascii="仿宋_GB2312" w:hAnsi="宋体" w:cs="宋体"/>
                <w:kern w:val="0"/>
                <w:sz w:val="21"/>
                <w:szCs w:val="21"/>
              </w:rPr>
              <w:t>〉</w:t>
            </w:r>
            <w:r>
              <w:rPr>
                <w:rFonts w:ascii="仿宋_GB2312" w:hAnsi="宋体" w:cs="宋体"/>
                <w:kern w:val="0"/>
                <w:sz w:val="21"/>
                <w:szCs w:val="21"/>
              </w:rPr>
              <w:t>的通知</w:t>
            </w:r>
            <w:r>
              <w:rPr>
                <w:rFonts w:hint="eastAsia" w:ascii="仿宋_GB2312" w:hAnsi="宋体" w:cs="宋体"/>
                <w:kern w:val="0"/>
                <w:sz w:val="21"/>
                <w:szCs w:val="21"/>
              </w:rPr>
              <w:t>》(武委办发〔2019〕16号)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kern w:val="0"/>
                <w:sz w:val="21"/>
                <w:szCs w:val="21"/>
                <w:lang w:eastAsia="zh-CN"/>
              </w:rPr>
              <w:t>政</w:t>
            </w:r>
            <w:r>
              <w:rPr>
                <w:rFonts w:hint="eastAsia" w:ascii="仿宋_GB2312" w:hAnsi="宋体" w:cs="宋体"/>
                <w:kern w:val="0"/>
                <w:sz w:val="21"/>
                <w:szCs w:val="21"/>
              </w:rPr>
              <w:t>府保卫股）。与县委办共同管理，承担推进、指导、协调、监督公共机构节能工作。</w:t>
            </w:r>
          </w:p>
        </w:tc>
        <w:tc>
          <w:tcPr>
            <w:tcW w:w="850" w:type="dxa"/>
            <w:tcBorders>
              <w:top w:val="nil"/>
              <w:left w:val="nil"/>
              <w:bottom w:val="single" w:color="auto" w:sz="4" w:space="0"/>
              <w:right w:val="single" w:color="auto" w:sz="4" w:space="0"/>
            </w:tcBorders>
            <w:noWrap w:val="0"/>
            <w:vAlign w:val="center"/>
          </w:tcPr>
          <w:p w14:paraId="3D354ACA">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nil"/>
              <w:left w:val="nil"/>
              <w:bottom w:val="single" w:color="auto" w:sz="4" w:space="0"/>
              <w:right w:val="single" w:color="auto" w:sz="4" w:space="0"/>
            </w:tcBorders>
            <w:noWrap w:val="0"/>
            <w:vAlign w:val="center"/>
          </w:tcPr>
          <w:p w14:paraId="44729591">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nil"/>
              <w:left w:val="nil"/>
              <w:bottom w:val="single" w:color="auto" w:sz="4" w:space="0"/>
              <w:right w:val="single" w:color="auto" w:sz="4" w:space="0"/>
            </w:tcBorders>
            <w:noWrap w:val="0"/>
            <w:vAlign w:val="center"/>
          </w:tcPr>
          <w:p w14:paraId="355D157C">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nil"/>
              <w:left w:val="nil"/>
              <w:bottom w:val="single" w:color="auto" w:sz="4" w:space="0"/>
              <w:right w:val="single" w:color="auto" w:sz="4" w:space="0"/>
            </w:tcBorders>
            <w:noWrap w:val="0"/>
            <w:vAlign w:val="center"/>
          </w:tcPr>
          <w:p w14:paraId="195419EE">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r>
      <w:tr w14:paraId="3D8214F8">
        <w:tblPrEx>
          <w:tblCellMar>
            <w:top w:w="0" w:type="dxa"/>
            <w:left w:w="108" w:type="dxa"/>
            <w:bottom w:w="0" w:type="dxa"/>
            <w:right w:w="108" w:type="dxa"/>
          </w:tblCellMar>
        </w:tblPrEx>
        <w:trPr>
          <w:trHeight w:val="1455" w:hRule="atLeast"/>
        </w:trPr>
        <w:tc>
          <w:tcPr>
            <w:tcW w:w="622" w:type="dxa"/>
            <w:tcBorders>
              <w:top w:val="nil"/>
              <w:left w:val="single" w:color="auto" w:sz="4" w:space="0"/>
              <w:bottom w:val="single" w:color="auto" w:sz="4" w:space="0"/>
              <w:right w:val="single" w:color="auto" w:sz="4" w:space="0"/>
            </w:tcBorders>
            <w:noWrap w:val="0"/>
            <w:vAlign w:val="center"/>
          </w:tcPr>
          <w:p w14:paraId="65C3C656">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2</w:t>
            </w:r>
          </w:p>
        </w:tc>
        <w:tc>
          <w:tcPr>
            <w:tcW w:w="1757" w:type="dxa"/>
            <w:tcBorders>
              <w:top w:val="nil"/>
              <w:left w:val="nil"/>
              <w:bottom w:val="single" w:color="auto" w:sz="4" w:space="0"/>
              <w:right w:val="single" w:color="auto" w:sz="4" w:space="0"/>
            </w:tcBorders>
            <w:noWrap w:val="0"/>
            <w:vAlign w:val="center"/>
          </w:tcPr>
          <w:p w14:paraId="7CFE6EE5">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研究拟订和贯彻落实公共机构节能的规章制度</w:t>
            </w:r>
          </w:p>
        </w:tc>
        <w:tc>
          <w:tcPr>
            <w:tcW w:w="783" w:type="dxa"/>
            <w:tcBorders>
              <w:top w:val="nil"/>
              <w:left w:val="nil"/>
              <w:bottom w:val="single" w:color="auto" w:sz="4" w:space="0"/>
              <w:right w:val="single" w:color="auto" w:sz="4" w:space="0"/>
            </w:tcBorders>
            <w:noWrap w:val="0"/>
            <w:vAlign w:val="center"/>
          </w:tcPr>
          <w:p w14:paraId="05C8F1A3">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nil"/>
              <w:left w:val="nil"/>
              <w:bottom w:val="single" w:color="auto" w:sz="4" w:space="0"/>
              <w:right w:val="single" w:color="auto" w:sz="4" w:space="0"/>
            </w:tcBorders>
            <w:noWrap w:val="0"/>
            <w:vAlign w:val="center"/>
          </w:tcPr>
          <w:p w14:paraId="45334EEA">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xml:space="preserve">    《</w:t>
            </w:r>
            <w:r>
              <w:rPr>
                <w:rFonts w:ascii="仿宋_GB2312" w:hAnsi="宋体" w:cs="宋体"/>
                <w:kern w:val="0"/>
                <w:sz w:val="21"/>
                <w:szCs w:val="21"/>
              </w:rPr>
              <w:t>中共武平县委办公室 武平县人民政府办公室关于印发</w:t>
            </w:r>
            <w:r>
              <w:rPr>
                <w:rFonts w:hint="eastAsia" w:ascii="仿宋_GB2312" w:hAnsi="宋体" w:cs="宋体"/>
                <w:kern w:val="0"/>
                <w:sz w:val="21"/>
                <w:szCs w:val="21"/>
              </w:rPr>
              <w:t>〈</w:t>
            </w:r>
            <w:r>
              <w:rPr>
                <w:rFonts w:ascii="仿宋_GB2312" w:hAnsi="宋体" w:cs="宋体"/>
                <w:kern w:val="0"/>
                <w:sz w:val="21"/>
                <w:szCs w:val="21"/>
              </w:rPr>
              <w:t>武平县人民政府办公室职能配置、内设机构和人员编制规定</w:t>
            </w:r>
            <w:r>
              <w:rPr>
                <w:rFonts w:hint="eastAsia" w:ascii="仿宋_GB2312" w:hAnsi="宋体" w:cs="宋体"/>
                <w:kern w:val="0"/>
                <w:sz w:val="21"/>
                <w:szCs w:val="21"/>
              </w:rPr>
              <w:t>〉</w:t>
            </w:r>
            <w:r>
              <w:rPr>
                <w:rFonts w:ascii="仿宋_GB2312" w:hAnsi="宋体" w:cs="宋体"/>
                <w:kern w:val="0"/>
                <w:sz w:val="21"/>
                <w:szCs w:val="21"/>
              </w:rPr>
              <w:t>的通知</w:t>
            </w:r>
            <w:r>
              <w:rPr>
                <w:rFonts w:hint="eastAsia" w:ascii="仿宋_GB2312" w:hAnsi="宋体" w:cs="宋体"/>
                <w:kern w:val="0"/>
                <w:sz w:val="21"/>
                <w:szCs w:val="21"/>
              </w:rPr>
              <w:t>》(武委办发〔2019〕16号)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kern w:val="0"/>
                <w:sz w:val="21"/>
                <w:szCs w:val="21"/>
                <w:lang w:eastAsia="zh-CN"/>
              </w:rPr>
              <w:t>政</w:t>
            </w:r>
            <w:r>
              <w:rPr>
                <w:rFonts w:hint="eastAsia" w:ascii="仿宋_GB2312" w:hAnsi="宋体" w:cs="宋体"/>
                <w:kern w:val="0"/>
                <w:sz w:val="21"/>
                <w:szCs w:val="21"/>
              </w:rPr>
              <w:t>府保卫股）。研究拟订和贯彻落实公共机构节能的规章制度，会同相关部门组织开展县级公共机构能耗统计、监测和评价考核工作。</w:t>
            </w:r>
          </w:p>
        </w:tc>
        <w:tc>
          <w:tcPr>
            <w:tcW w:w="850" w:type="dxa"/>
            <w:tcBorders>
              <w:top w:val="nil"/>
              <w:left w:val="nil"/>
              <w:bottom w:val="single" w:color="auto" w:sz="4" w:space="0"/>
              <w:right w:val="single" w:color="auto" w:sz="4" w:space="0"/>
            </w:tcBorders>
            <w:noWrap w:val="0"/>
            <w:vAlign w:val="center"/>
          </w:tcPr>
          <w:p w14:paraId="201CFBF5">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p w14:paraId="4F2177B8">
            <w:pPr>
              <w:widowControl/>
              <w:spacing w:line="280" w:lineRule="exact"/>
              <w:rPr>
                <w:rFonts w:hint="eastAsia" w:ascii="仿宋_GB2312" w:hAnsi="宋体" w:cs="宋体"/>
                <w:kern w:val="0"/>
                <w:sz w:val="21"/>
                <w:szCs w:val="21"/>
              </w:rPr>
            </w:pPr>
          </w:p>
        </w:tc>
        <w:tc>
          <w:tcPr>
            <w:tcW w:w="1701" w:type="dxa"/>
            <w:tcBorders>
              <w:top w:val="nil"/>
              <w:left w:val="nil"/>
              <w:bottom w:val="single" w:color="auto" w:sz="4" w:space="0"/>
              <w:right w:val="single" w:color="auto" w:sz="4" w:space="0"/>
            </w:tcBorders>
            <w:noWrap w:val="0"/>
            <w:vAlign w:val="center"/>
          </w:tcPr>
          <w:p w14:paraId="78474CF1">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nil"/>
              <w:left w:val="nil"/>
              <w:bottom w:val="single" w:color="auto" w:sz="4" w:space="0"/>
              <w:right w:val="single" w:color="auto" w:sz="4" w:space="0"/>
            </w:tcBorders>
            <w:noWrap w:val="0"/>
            <w:vAlign w:val="center"/>
          </w:tcPr>
          <w:p w14:paraId="17628CF1">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nil"/>
              <w:left w:val="nil"/>
              <w:bottom w:val="single" w:color="auto" w:sz="4" w:space="0"/>
              <w:right w:val="single" w:color="auto" w:sz="4" w:space="0"/>
            </w:tcBorders>
            <w:noWrap w:val="0"/>
            <w:vAlign w:val="center"/>
          </w:tcPr>
          <w:p w14:paraId="11EAA008">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r>
      <w:tr w14:paraId="6E9A06F8">
        <w:tblPrEx>
          <w:tblCellMar>
            <w:top w:w="0" w:type="dxa"/>
            <w:left w:w="108" w:type="dxa"/>
            <w:bottom w:w="0" w:type="dxa"/>
            <w:right w:w="108" w:type="dxa"/>
          </w:tblCellMar>
        </w:tblPrEx>
        <w:trPr>
          <w:trHeight w:val="3278" w:hRule="atLeast"/>
        </w:trPr>
        <w:tc>
          <w:tcPr>
            <w:tcW w:w="622" w:type="dxa"/>
            <w:tcBorders>
              <w:top w:val="nil"/>
              <w:left w:val="single" w:color="auto" w:sz="4" w:space="0"/>
              <w:bottom w:val="single" w:color="auto" w:sz="4" w:space="0"/>
              <w:right w:val="single" w:color="auto" w:sz="4" w:space="0"/>
            </w:tcBorders>
            <w:noWrap w:val="0"/>
            <w:vAlign w:val="center"/>
          </w:tcPr>
          <w:p w14:paraId="570AB4CE">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3</w:t>
            </w:r>
          </w:p>
        </w:tc>
        <w:tc>
          <w:tcPr>
            <w:tcW w:w="1757" w:type="dxa"/>
            <w:tcBorders>
              <w:top w:val="nil"/>
              <w:left w:val="nil"/>
              <w:bottom w:val="single" w:color="auto" w:sz="4" w:space="0"/>
              <w:right w:val="single" w:color="auto" w:sz="4" w:space="0"/>
            </w:tcBorders>
            <w:noWrap w:val="0"/>
            <w:vAlign w:val="center"/>
          </w:tcPr>
          <w:p w14:paraId="59FF31A3">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开展县级公共机构能耗统计、监测和评价考核工作</w:t>
            </w:r>
          </w:p>
        </w:tc>
        <w:tc>
          <w:tcPr>
            <w:tcW w:w="783" w:type="dxa"/>
            <w:tcBorders>
              <w:top w:val="nil"/>
              <w:left w:val="nil"/>
              <w:bottom w:val="single" w:color="auto" w:sz="4" w:space="0"/>
              <w:right w:val="single" w:color="auto" w:sz="4" w:space="0"/>
            </w:tcBorders>
            <w:noWrap w:val="0"/>
            <w:vAlign w:val="center"/>
          </w:tcPr>
          <w:p w14:paraId="2A3F4F6C">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nil"/>
              <w:left w:val="nil"/>
              <w:bottom w:val="single" w:color="auto" w:sz="4" w:space="0"/>
              <w:right w:val="single" w:color="auto" w:sz="4" w:space="0"/>
            </w:tcBorders>
            <w:noWrap w:val="0"/>
            <w:vAlign w:val="center"/>
          </w:tcPr>
          <w:p w14:paraId="330B226D">
            <w:pPr>
              <w:widowControl/>
              <w:spacing w:line="220" w:lineRule="exact"/>
              <w:rPr>
                <w:rFonts w:hint="eastAsia" w:ascii="仿宋_GB2312" w:hAnsi="宋体" w:cs="宋体"/>
                <w:color w:val="000000"/>
                <w:kern w:val="0"/>
                <w:sz w:val="21"/>
                <w:szCs w:val="21"/>
              </w:rPr>
            </w:pPr>
            <w:r>
              <w:rPr>
                <w:rFonts w:hint="eastAsia" w:ascii="仿宋_GB2312" w:hAnsi="宋体" w:cs="宋体"/>
                <w:color w:val="000000"/>
                <w:kern w:val="0"/>
                <w:sz w:val="21"/>
                <w:szCs w:val="21"/>
              </w:rPr>
              <w:t xml:space="preserve">    1.《福建省节约能源条例》（2012年省第十一届人大常委会第三十一次会议通过，2018年第十三届人大常委会第七次会议修正）</w:t>
            </w:r>
            <w:r>
              <w:rPr>
                <w:rFonts w:hint="eastAsia" w:ascii="仿宋_GB2312" w:hAnsi="宋体" w:cs="宋体"/>
                <w:color w:val="000000"/>
                <w:kern w:val="0"/>
                <w:sz w:val="21"/>
                <w:szCs w:val="21"/>
              </w:rPr>
              <w:br w:type="textWrapping"/>
            </w:r>
            <w:r>
              <w:rPr>
                <w:rFonts w:hint="eastAsia" w:ascii="仿宋_GB2312" w:hAnsi="宋体" w:cs="宋体"/>
                <w:color w:val="000000"/>
                <w:kern w:val="0"/>
                <w:sz w:val="21"/>
                <w:szCs w:val="21"/>
              </w:rPr>
              <w:t xml:space="preserve">    第十二条  县级以上地方人民政府管理机关事务工作的机构在同级节能主管部门指导下，负责本级公共机构节能监督管理工作，指导和监督下级公共机构节能工作；会同有关部门建立公共机构节能目标责任制，制定本级公共机构节能考核评价办法并组织实施。</w:t>
            </w:r>
            <w:r>
              <w:rPr>
                <w:rFonts w:hint="eastAsia" w:ascii="仿宋_GB2312" w:hAnsi="宋体" w:cs="宋体"/>
                <w:color w:val="000000"/>
                <w:kern w:val="0"/>
                <w:sz w:val="21"/>
                <w:szCs w:val="21"/>
              </w:rPr>
              <w:br w:type="textWrapping"/>
            </w:r>
            <w:r>
              <w:rPr>
                <w:rFonts w:hint="eastAsia" w:ascii="仿宋_GB2312" w:hAnsi="宋体" w:cs="宋体"/>
                <w:color w:val="000000"/>
                <w:kern w:val="0"/>
                <w:sz w:val="21"/>
                <w:szCs w:val="21"/>
              </w:rPr>
              <w:t xml:space="preserve">    2.</w:t>
            </w:r>
            <w:r>
              <w:rPr>
                <w:rFonts w:hint="eastAsia" w:ascii="仿宋_GB2312" w:hAnsi="宋体" w:cs="宋体"/>
                <w:kern w:val="0"/>
                <w:sz w:val="21"/>
                <w:szCs w:val="21"/>
              </w:rPr>
              <w:t xml:space="preserve"> 《</w:t>
            </w:r>
            <w:r>
              <w:rPr>
                <w:rFonts w:ascii="仿宋_GB2312" w:hAnsi="宋体" w:cs="宋体"/>
                <w:kern w:val="0"/>
                <w:sz w:val="21"/>
                <w:szCs w:val="21"/>
              </w:rPr>
              <w:t>中共武平县委办公室 武平县人民政府办公室关于印发</w:t>
            </w:r>
            <w:r>
              <w:rPr>
                <w:rFonts w:hint="eastAsia" w:ascii="仿宋_GB2312" w:hAnsi="宋体" w:cs="宋体"/>
                <w:kern w:val="0"/>
                <w:sz w:val="21"/>
                <w:szCs w:val="21"/>
              </w:rPr>
              <w:t>〈</w:t>
            </w:r>
            <w:r>
              <w:rPr>
                <w:rFonts w:ascii="仿宋_GB2312" w:hAnsi="宋体" w:cs="宋体"/>
                <w:kern w:val="0"/>
                <w:sz w:val="21"/>
                <w:szCs w:val="21"/>
              </w:rPr>
              <w:t>武平县人民政府办公室职能配置、内设机构和人员编制规定</w:t>
            </w:r>
            <w:r>
              <w:rPr>
                <w:rFonts w:hint="eastAsia" w:ascii="仿宋_GB2312" w:hAnsi="宋体" w:cs="宋体"/>
                <w:kern w:val="0"/>
                <w:sz w:val="21"/>
                <w:szCs w:val="21"/>
              </w:rPr>
              <w:t>〉</w:t>
            </w:r>
            <w:r>
              <w:rPr>
                <w:rFonts w:ascii="仿宋_GB2312" w:hAnsi="宋体" w:cs="宋体"/>
                <w:kern w:val="0"/>
                <w:sz w:val="21"/>
                <w:szCs w:val="21"/>
              </w:rPr>
              <w:t>的通知</w:t>
            </w:r>
            <w:r>
              <w:rPr>
                <w:rFonts w:hint="eastAsia" w:ascii="仿宋_GB2312" w:hAnsi="宋体" w:cs="宋体"/>
                <w:kern w:val="0"/>
                <w:sz w:val="21"/>
                <w:szCs w:val="21"/>
              </w:rPr>
              <w:t>》(武委办发〔2019〕16号)</w:t>
            </w:r>
            <w:r>
              <w:rPr>
                <w:rFonts w:hint="eastAsia" w:ascii="仿宋_GB2312" w:hAnsi="宋体" w:cs="宋体"/>
                <w:kern w:val="0"/>
                <w:sz w:val="21"/>
                <w:szCs w:val="21"/>
              </w:rPr>
              <w:br w:type="textWrapping"/>
            </w:r>
            <w:r>
              <w:rPr>
                <w:rFonts w:hint="eastAsia" w:ascii="仿宋_GB2312" w:hAnsi="宋体" w:cs="宋体"/>
                <w:color w:val="000000"/>
                <w:kern w:val="0"/>
                <w:sz w:val="21"/>
                <w:szCs w:val="21"/>
              </w:rPr>
              <w:t xml:space="preserve">    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color w:val="000000"/>
                <w:kern w:val="0"/>
                <w:sz w:val="21"/>
                <w:szCs w:val="21"/>
              </w:rPr>
              <w:t>府保卫股）。研究拟订和贯彻落实公共机构节能的规章制度，会同相关部门组织开展县级公共机构能耗统计、监测和评价考核工作。</w:t>
            </w:r>
          </w:p>
        </w:tc>
        <w:tc>
          <w:tcPr>
            <w:tcW w:w="850" w:type="dxa"/>
            <w:tcBorders>
              <w:top w:val="nil"/>
              <w:left w:val="nil"/>
              <w:bottom w:val="single" w:color="auto" w:sz="4" w:space="0"/>
              <w:right w:val="single" w:color="auto" w:sz="4" w:space="0"/>
            </w:tcBorders>
            <w:noWrap w:val="0"/>
            <w:vAlign w:val="center"/>
          </w:tcPr>
          <w:p w14:paraId="151BD46A">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nil"/>
              <w:left w:val="nil"/>
              <w:bottom w:val="single" w:color="auto" w:sz="4" w:space="0"/>
              <w:right w:val="single" w:color="auto" w:sz="4" w:space="0"/>
            </w:tcBorders>
            <w:noWrap w:val="0"/>
            <w:vAlign w:val="center"/>
          </w:tcPr>
          <w:p w14:paraId="6200FDDC">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nil"/>
              <w:left w:val="nil"/>
              <w:bottom w:val="single" w:color="auto" w:sz="4" w:space="0"/>
              <w:right w:val="single" w:color="auto" w:sz="4" w:space="0"/>
            </w:tcBorders>
            <w:noWrap w:val="0"/>
            <w:vAlign w:val="center"/>
          </w:tcPr>
          <w:p w14:paraId="3CA0086A">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nil"/>
              <w:left w:val="nil"/>
              <w:bottom w:val="single" w:color="auto" w:sz="4" w:space="0"/>
              <w:right w:val="single" w:color="auto" w:sz="4" w:space="0"/>
            </w:tcBorders>
            <w:noWrap w:val="0"/>
            <w:vAlign w:val="center"/>
          </w:tcPr>
          <w:p w14:paraId="4CD250DB">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r>
      <w:tr w14:paraId="39656587">
        <w:tblPrEx>
          <w:tblCellMar>
            <w:top w:w="0" w:type="dxa"/>
            <w:left w:w="108" w:type="dxa"/>
            <w:bottom w:w="0" w:type="dxa"/>
            <w:right w:w="108" w:type="dxa"/>
          </w:tblCellMar>
        </w:tblPrEx>
        <w:trPr>
          <w:trHeight w:val="5120"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167C116D">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4</w:t>
            </w:r>
          </w:p>
        </w:tc>
        <w:tc>
          <w:tcPr>
            <w:tcW w:w="1757" w:type="dxa"/>
            <w:tcBorders>
              <w:top w:val="single" w:color="auto" w:sz="4" w:space="0"/>
              <w:left w:val="nil"/>
              <w:bottom w:val="single" w:color="auto" w:sz="4" w:space="0"/>
              <w:right w:val="single" w:color="auto" w:sz="4" w:space="0"/>
            </w:tcBorders>
            <w:noWrap w:val="0"/>
            <w:vAlign w:val="center"/>
          </w:tcPr>
          <w:p w14:paraId="55A3DA96">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制定县级公共机构节能规划和能耗定额标准</w:t>
            </w:r>
          </w:p>
        </w:tc>
        <w:tc>
          <w:tcPr>
            <w:tcW w:w="783" w:type="dxa"/>
            <w:tcBorders>
              <w:top w:val="single" w:color="auto" w:sz="4" w:space="0"/>
              <w:left w:val="nil"/>
              <w:bottom w:val="single" w:color="auto" w:sz="4" w:space="0"/>
              <w:right w:val="single" w:color="auto" w:sz="4" w:space="0"/>
            </w:tcBorders>
            <w:noWrap w:val="0"/>
            <w:vAlign w:val="center"/>
          </w:tcPr>
          <w:p w14:paraId="189F11E6">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7D6BB80C">
            <w:pPr>
              <w:widowControl/>
              <w:spacing w:line="21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1.《节约能源法》</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4ABC6836">
            <w:pPr>
              <w:widowControl/>
              <w:spacing w:line="21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第十条  国务院和县级以上地方各级人民政府管理机关事务工作的机构应当会同同级有关部门，根据本级人民政府节能中长期专项规划，制定本级公共机构节能规划。</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4C178F68">
            <w:pPr>
              <w:widowControl/>
              <w:spacing w:line="21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第四十八条  国务院和县级以上地方各级人民政府管理机关事务工作的机构会同同级有关部门制定和组织实施本级公共机构节能规划。公共机构节能规划应当包括公共机构既有建筑节能改造计划。</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04F1256F">
            <w:pPr>
              <w:widowControl/>
              <w:spacing w:line="21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第四十九条  国务院和县级以上地方各级人民政府管理机关事务工作的机构会同同级有关部门按照管理权限，制定本级公共机构的能源消耗定额，财政部门根据该定额制定能源消费支出标准。</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38649D87">
            <w:pPr>
              <w:widowControl/>
              <w:spacing w:line="21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2.《福建省公共机构节能管理办法》（福建省人民政府令第121号）</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5D1CE6B7">
            <w:pPr>
              <w:widowControl/>
              <w:spacing w:line="21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第十一条  县级以上人民政府管理机关事务工作的机构应当会同有关部门，按照管理权限，根据国家、行业和本省颁布的公共机构能源消耗标准，结合本级公共机构能源消费综合水平和特点，制定、公布和调整本级公共机构能源消耗定额。</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68408DF4">
            <w:pPr>
              <w:widowControl/>
              <w:spacing w:line="21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3.《</w:t>
            </w:r>
            <w:r>
              <w:rPr>
                <w:rFonts w:ascii="仿宋_GB2312" w:hAnsi="宋体" w:cs="宋体"/>
                <w:kern w:val="0"/>
                <w:sz w:val="21"/>
                <w:szCs w:val="21"/>
              </w:rPr>
              <w:t>中共武平县委办公室 武平县人民政府办公室关于印发</w:t>
            </w:r>
            <w:r>
              <w:rPr>
                <w:rFonts w:hint="eastAsia" w:ascii="仿宋_GB2312" w:hAnsi="宋体" w:cs="宋体"/>
                <w:kern w:val="0"/>
                <w:sz w:val="21"/>
                <w:szCs w:val="21"/>
              </w:rPr>
              <w:t>〈</w:t>
            </w:r>
            <w:r>
              <w:rPr>
                <w:rFonts w:ascii="仿宋_GB2312" w:hAnsi="宋体" w:cs="宋体"/>
                <w:kern w:val="0"/>
                <w:sz w:val="21"/>
                <w:szCs w:val="21"/>
              </w:rPr>
              <w:t>武平县人民政府办公室职能配置、内设机构和人员编制规定</w:t>
            </w:r>
            <w:r>
              <w:rPr>
                <w:rFonts w:hint="eastAsia" w:ascii="仿宋_GB2312" w:hAnsi="宋体" w:cs="宋体"/>
                <w:kern w:val="0"/>
                <w:sz w:val="21"/>
                <w:szCs w:val="21"/>
              </w:rPr>
              <w:t>〉</w:t>
            </w:r>
            <w:r>
              <w:rPr>
                <w:rFonts w:ascii="仿宋_GB2312" w:hAnsi="宋体" w:cs="宋体"/>
                <w:kern w:val="0"/>
                <w:sz w:val="21"/>
                <w:szCs w:val="21"/>
              </w:rPr>
              <w:t>的通知</w:t>
            </w:r>
            <w:r>
              <w:rPr>
                <w:rFonts w:hint="eastAsia" w:ascii="仿宋_GB2312" w:hAnsi="宋体" w:cs="宋体"/>
                <w:kern w:val="0"/>
                <w:sz w:val="21"/>
                <w:szCs w:val="21"/>
              </w:rPr>
              <w:t>》(武委办发〔2019〕16号)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kern w:val="0"/>
                <w:sz w:val="21"/>
                <w:szCs w:val="21"/>
                <w:lang w:eastAsia="zh-CN"/>
              </w:rPr>
              <w:t>政</w:t>
            </w:r>
            <w:r>
              <w:rPr>
                <w:rFonts w:hint="eastAsia" w:ascii="仿宋_GB2312" w:hAnsi="宋体" w:cs="宋体"/>
                <w:kern w:val="0"/>
                <w:sz w:val="21"/>
                <w:szCs w:val="21"/>
              </w:rPr>
              <w:t>府保卫股）。负责制定县级公共机构节能规划和能耗定额标准。</w:t>
            </w:r>
          </w:p>
        </w:tc>
        <w:tc>
          <w:tcPr>
            <w:tcW w:w="850" w:type="dxa"/>
            <w:tcBorders>
              <w:top w:val="single" w:color="auto" w:sz="4" w:space="0"/>
              <w:left w:val="nil"/>
              <w:bottom w:val="single" w:color="auto" w:sz="4" w:space="0"/>
              <w:right w:val="single" w:color="auto" w:sz="4" w:space="0"/>
            </w:tcBorders>
            <w:noWrap w:val="0"/>
            <w:vAlign w:val="center"/>
          </w:tcPr>
          <w:p w14:paraId="2B4D760F">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single" w:color="auto" w:sz="4" w:space="0"/>
              <w:left w:val="nil"/>
              <w:bottom w:val="single" w:color="auto" w:sz="4" w:space="0"/>
              <w:right w:val="single" w:color="auto" w:sz="4" w:space="0"/>
            </w:tcBorders>
            <w:noWrap w:val="0"/>
            <w:vAlign w:val="center"/>
          </w:tcPr>
          <w:p w14:paraId="15740C4E">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single" w:color="auto" w:sz="4" w:space="0"/>
              <w:left w:val="nil"/>
              <w:bottom w:val="single" w:color="auto" w:sz="4" w:space="0"/>
              <w:right w:val="single" w:color="auto" w:sz="4" w:space="0"/>
            </w:tcBorders>
            <w:noWrap w:val="0"/>
            <w:vAlign w:val="center"/>
          </w:tcPr>
          <w:p w14:paraId="51908493">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single" w:color="auto" w:sz="4" w:space="0"/>
              <w:left w:val="nil"/>
              <w:bottom w:val="single" w:color="auto" w:sz="4" w:space="0"/>
              <w:right w:val="single" w:color="auto" w:sz="4" w:space="0"/>
            </w:tcBorders>
            <w:noWrap w:val="0"/>
            <w:vAlign w:val="center"/>
          </w:tcPr>
          <w:p w14:paraId="09714658">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r>
      <w:tr w14:paraId="1C28C1A6">
        <w:tblPrEx>
          <w:tblCellMar>
            <w:top w:w="0" w:type="dxa"/>
            <w:left w:w="108" w:type="dxa"/>
            <w:bottom w:w="0" w:type="dxa"/>
            <w:right w:w="108" w:type="dxa"/>
          </w:tblCellMar>
        </w:tblPrEx>
        <w:trPr>
          <w:trHeight w:val="2370" w:hRule="atLeast"/>
        </w:trPr>
        <w:tc>
          <w:tcPr>
            <w:tcW w:w="622" w:type="dxa"/>
            <w:tcBorders>
              <w:top w:val="nil"/>
              <w:left w:val="single" w:color="auto" w:sz="4" w:space="0"/>
              <w:bottom w:val="single" w:color="auto" w:sz="4" w:space="0"/>
              <w:right w:val="single" w:color="auto" w:sz="4" w:space="0"/>
            </w:tcBorders>
            <w:noWrap w:val="0"/>
            <w:vAlign w:val="center"/>
          </w:tcPr>
          <w:p w14:paraId="2B8EC4BD">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5</w:t>
            </w:r>
          </w:p>
        </w:tc>
        <w:tc>
          <w:tcPr>
            <w:tcW w:w="1757" w:type="dxa"/>
            <w:tcBorders>
              <w:top w:val="nil"/>
              <w:left w:val="nil"/>
              <w:bottom w:val="single" w:color="auto" w:sz="4" w:space="0"/>
              <w:right w:val="single" w:color="auto" w:sz="4" w:space="0"/>
            </w:tcBorders>
            <w:noWrap w:val="0"/>
            <w:vAlign w:val="center"/>
          </w:tcPr>
          <w:p w14:paraId="0B0CBF0D">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县级公共机构办公建筑节能监督管理</w:t>
            </w:r>
          </w:p>
        </w:tc>
        <w:tc>
          <w:tcPr>
            <w:tcW w:w="783" w:type="dxa"/>
            <w:tcBorders>
              <w:top w:val="nil"/>
              <w:left w:val="nil"/>
              <w:bottom w:val="single" w:color="auto" w:sz="4" w:space="0"/>
              <w:right w:val="single" w:color="auto" w:sz="4" w:space="0"/>
            </w:tcBorders>
            <w:noWrap w:val="0"/>
            <w:vAlign w:val="center"/>
          </w:tcPr>
          <w:p w14:paraId="3D32C035">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nil"/>
              <w:left w:val="nil"/>
              <w:bottom w:val="single" w:color="auto" w:sz="4" w:space="0"/>
              <w:right w:val="single" w:color="auto" w:sz="4" w:space="0"/>
            </w:tcBorders>
            <w:noWrap w:val="0"/>
            <w:vAlign w:val="center"/>
          </w:tcPr>
          <w:p w14:paraId="41A66A45">
            <w:pPr>
              <w:widowControl/>
              <w:spacing w:line="210" w:lineRule="exact"/>
              <w:rPr>
                <w:rFonts w:hint="eastAsia" w:ascii="仿宋_GB2312" w:hAnsi="宋体" w:cs="宋体"/>
                <w:color w:val="000000"/>
                <w:kern w:val="0"/>
                <w:sz w:val="21"/>
                <w:szCs w:val="21"/>
              </w:rPr>
            </w:pPr>
            <w:r>
              <w:rPr>
                <w:rFonts w:hint="eastAsia" w:ascii="仿宋_GB2312" w:hAnsi="宋体" w:cs="宋体"/>
                <w:color w:val="000000"/>
                <w:kern w:val="0"/>
                <w:sz w:val="21"/>
                <w:szCs w:val="21"/>
              </w:rPr>
              <w:t xml:space="preserve">   1.《福建省公共机构节能管理办法》（福建省人民政府令121号）</w:t>
            </w:r>
            <w:r>
              <w:rPr>
                <w:rFonts w:hint="eastAsia" w:ascii="仿宋_GB2312" w:hAnsi="宋体" w:cs="宋体"/>
                <w:color w:val="000000"/>
                <w:kern w:val="0"/>
                <w:sz w:val="21"/>
                <w:szCs w:val="21"/>
              </w:rPr>
              <w:br w:type="textWrapping"/>
            </w:r>
            <w:r>
              <w:rPr>
                <w:rFonts w:hint="eastAsia" w:ascii="仿宋_GB2312" w:hAnsi="宋体" w:cs="宋体"/>
                <w:color w:val="000000"/>
                <w:kern w:val="0"/>
                <w:sz w:val="21"/>
                <w:szCs w:val="21"/>
              </w:rPr>
              <w:t xml:space="preserve">   第十二条  县级以上人民政府管理机关事务工作的机构应当会同有关部门，制定公共机构既有建筑节能改造计划，并组织实施。</w:t>
            </w:r>
            <w:r>
              <w:rPr>
                <w:rFonts w:hint="eastAsia" w:ascii="仿宋_GB2312" w:hAnsi="宋体" w:cs="宋体"/>
                <w:color w:val="000000"/>
                <w:kern w:val="0"/>
                <w:sz w:val="21"/>
                <w:szCs w:val="21"/>
              </w:rPr>
              <w:br w:type="textWrapping"/>
            </w:r>
            <w:r>
              <w:rPr>
                <w:rFonts w:hint="eastAsia" w:ascii="仿宋_GB2312" w:hAnsi="宋体" w:cs="宋体"/>
                <w:color w:val="000000"/>
                <w:kern w:val="0"/>
                <w:sz w:val="21"/>
                <w:szCs w:val="21"/>
              </w:rPr>
              <w:t xml:space="preserve">   2.</w:t>
            </w:r>
            <w:r>
              <w:rPr>
                <w:rFonts w:hint="eastAsia" w:ascii="仿宋_GB2312" w:hAnsi="宋体" w:cs="宋体"/>
                <w:kern w:val="0"/>
                <w:sz w:val="21"/>
                <w:szCs w:val="21"/>
              </w:rPr>
              <w:t>《</w:t>
            </w:r>
            <w:r>
              <w:rPr>
                <w:rFonts w:ascii="仿宋_GB2312" w:hAnsi="宋体" w:cs="宋体"/>
                <w:kern w:val="0"/>
                <w:sz w:val="21"/>
                <w:szCs w:val="21"/>
              </w:rPr>
              <w:t>中共武平县委办公室 武平县人民政府办公室关于印发</w:t>
            </w:r>
            <w:r>
              <w:rPr>
                <w:rFonts w:hint="eastAsia" w:ascii="仿宋_GB2312" w:hAnsi="宋体" w:cs="宋体"/>
                <w:kern w:val="0"/>
                <w:sz w:val="21"/>
                <w:szCs w:val="21"/>
              </w:rPr>
              <w:t>〈</w:t>
            </w:r>
            <w:r>
              <w:rPr>
                <w:rFonts w:ascii="仿宋_GB2312" w:hAnsi="宋体" w:cs="宋体"/>
                <w:kern w:val="0"/>
                <w:sz w:val="21"/>
                <w:szCs w:val="21"/>
              </w:rPr>
              <w:t>武平县人民政府办公室职能配置、内设机构和人员编制规定</w:t>
            </w:r>
            <w:r>
              <w:rPr>
                <w:rFonts w:hint="eastAsia" w:ascii="仿宋_GB2312" w:hAnsi="宋体" w:cs="宋体"/>
                <w:kern w:val="0"/>
                <w:sz w:val="21"/>
                <w:szCs w:val="21"/>
              </w:rPr>
              <w:t>〉</w:t>
            </w:r>
            <w:r>
              <w:rPr>
                <w:rFonts w:ascii="仿宋_GB2312" w:hAnsi="宋体" w:cs="宋体"/>
                <w:kern w:val="0"/>
                <w:sz w:val="21"/>
                <w:szCs w:val="21"/>
              </w:rPr>
              <w:t>的通知</w:t>
            </w:r>
            <w:r>
              <w:rPr>
                <w:rFonts w:hint="eastAsia" w:ascii="仿宋_GB2312" w:hAnsi="宋体" w:cs="宋体"/>
                <w:kern w:val="0"/>
                <w:sz w:val="21"/>
                <w:szCs w:val="21"/>
              </w:rPr>
              <w:t>》(武委办发〔2019〕16号)</w:t>
            </w:r>
            <w:r>
              <w:rPr>
                <w:rFonts w:hint="eastAsia" w:ascii="仿宋_GB2312" w:hAnsi="宋体" w:cs="宋体"/>
                <w:kern w:val="0"/>
                <w:sz w:val="21"/>
                <w:szCs w:val="21"/>
              </w:rPr>
              <w:br w:type="textWrapping"/>
            </w:r>
            <w:r>
              <w:rPr>
                <w:rFonts w:hint="eastAsia" w:ascii="仿宋_GB2312" w:hAnsi="宋体" w:cs="宋体"/>
                <w:color w:val="000000"/>
                <w:kern w:val="0"/>
                <w:sz w:val="21"/>
                <w:szCs w:val="21"/>
              </w:rPr>
              <w:t xml:space="preserve">    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color w:val="000000"/>
                <w:kern w:val="0"/>
                <w:sz w:val="21"/>
                <w:szCs w:val="21"/>
              </w:rPr>
              <w:t>府保卫股）。负责县级公共机构办公建筑节能监督管理。</w:t>
            </w:r>
          </w:p>
        </w:tc>
        <w:tc>
          <w:tcPr>
            <w:tcW w:w="850" w:type="dxa"/>
            <w:tcBorders>
              <w:top w:val="nil"/>
              <w:left w:val="nil"/>
              <w:bottom w:val="single" w:color="auto" w:sz="4" w:space="0"/>
              <w:right w:val="single" w:color="auto" w:sz="4" w:space="0"/>
            </w:tcBorders>
            <w:noWrap w:val="0"/>
            <w:vAlign w:val="center"/>
          </w:tcPr>
          <w:p w14:paraId="4108CB12">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nil"/>
              <w:left w:val="nil"/>
              <w:bottom w:val="single" w:color="auto" w:sz="4" w:space="0"/>
              <w:right w:val="single" w:color="auto" w:sz="4" w:space="0"/>
            </w:tcBorders>
            <w:noWrap w:val="0"/>
            <w:vAlign w:val="center"/>
          </w:tcPr>
          <w:p w14:paraId="6664F714">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nil"/>
              <w:left w:val="nil"/>
              <w:bottom w:val="single" w:color="auto" w:sz="4" w:space="0"/>
              <w:right w:val="single" w:color="auto" w:sz="4" w:space="0"/>
            </w:tcBorders>
            <w:noWrap w:val="0"/>
            <w:vAlign w:val="center"/>
          </w:tcPr>
          <w:p w14:paraId="5E359681">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nil"/>
              <w:left w:val="nil"/>
              <w:bottom w:val="single" w:color="auto" w:sz="4" w:space="0"/>
              <w:right w:val="single" w:color="auto" w:sz="4" w:space="0"/>
            </w:tcBorders>
            <w:noWrap w:val="0"/>
            <w:vAlign w:val="center"/>
          </w:tcPr>
          <w:p w14:paraId="13E26CB1">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r>
      <w:tr w14:paraId="16345B4A">
        <w:tblPrEx>
          <w:tblCellMar>
            <w:top w:w="0" w:type="dxa"/>
            <w:left w:w="108" w:type="dxa"/>
            <w:bottom w:w="0" w:type="dxa"/>
            <w:right w:w="108" w:type="dxa"/>
          </w:tblCellMar>
        </w:tblPrEx>
        <w:trPr>
          <w:trHeight w:val="5417"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58D0E618">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6</w:t>
            </w:r>
          </w:p>
        </w:tc>
        <w:tc>
          <w:tcPr>
            <w:tcW w:w="1757" w:type="dxa"/>
            <w:tcBorders>
              <w:top w:val="single" w:color="auto" w:sz="4" w:space="0"/>
              <w:left w:val="nil"/>
              <w:bottom w:val="single" w:color="auto" w:sz="4" w:space="0"/>
              <w:right w:val="single" w:color="auto" w:sz="4" w:space="0"/>
            </w:tcBorders>
            <w:noWrap w:val="0"/>
            <w:vAlign w:val="center"/>
          </w:tcPr>
          <w:p w14:paraId="57FDD474">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开展公共机构节能宣传、教育和培训，普及节能科学知识</w:t>
            </w:r>
          </w:p>
        </w:tc>
        <w:tc>
          <w:tcPr>
            <w:tcW w:w="783" w:type="dxa"/>
            <w:tcBorders>
              <w:top w:val="single" w:color="auto" w:sz="4" w:space="0"/>
              <w:left w:val="nil"/>
              <w:bottom w:val="single" w:color="auto" w:sz="4" w:space="0"/>
              <w:right w:val="single" w:color="auto" w:sz="4" w:space="0"/>
            </w:tcBorders>
            <w:noWrap w:val="0"/>
            <w:vAlign w:val="center"/>
          </w:tcPr>
          <w:p w14:paraId="4C68ADF3">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028B1363">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xml:space="preserve">    1.《公共机构节能条例》（国务院令第531号公布，第676号修订）</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第一章第五条  国务院和县级以上地方各级人民政府管理机关事务工作的机构应当会同同级有关部门开展公共机构节能宣传、教育和培训，普及节能科学知识。</w:t>
            </w:r>
            <w:r>
              <w:rPr>
                <w:rFonts w:hint="eastAsia" w:ascii="仿宋_GB2312" w:hAnsi="宋体" w:cs="宋体"/>
                <w:kern w:val="0"/>
                <w:sz w:val="21"/>
                <w:szCs w:val="21"/>
              </w:rPr>
              <w:br w:type="textWrapping"/>
            </w:r>
            <w:r>
              <w:rPr>
                <w:rFonts w:hint="eastAsia" w:ascii="仿宋_GB2312" w:hAnsi="宋体" w:cs="宋体"/>
                <w:kern w:val="0"/>
                <w:sz w:val="21"/>
                <w:szCs w:val="21"/>
              </w:rPr>
              <w:t xml:space="preserve">    2.《福建省公共机构节能管理办法》（福建省人民政府令第121号）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第二十四条  县级以上人民政府管理机关事务工作的机构应当组织开展公共机构节能宣传、教育、培训，普及节能科学知识，定期开展主题鲜明、形式多样的节能宣传活动，组织本级公共机构能源管理人员、操作人员进行节能知识的学习和技术培训。</w:t>
            </w:r>
            <w:r>
              <w:rPr>
                <w:rFonts w:hint="eastAsia" w:ascii="仿宋_GB2312" w:hAnsi="宋体" w:cs="宋体"/>
                <w:kern w:val="0"/>
                <w:sz w:val="21"/>
                <w:szCs w:val="21"/>
              </w:rPr>
              <w:br w:type="textWrapping"/>
            </w:r>
            <w:r>
              <w:rPr>
                <w:rFonts w:hint="eastAsia" w:ascii="仿宋_GB2312" w:hAnsi="宋体" w:cs="宋体"/>
                <w:kern w:val="0"/>
                <w:sz w:val="21"/>
                <w:szCs w:val="21"/>
              </w:rPr>
              <w:t xml:space="preserve">    3. 《</w:t>
            </w:r>
            <w:r>
              <w:rPr>
                <w:rFonts w:ascii="仿宋_GB2312" w:hAnsi="宋体" w:cs="宋体"/>
                <w:kern w:val="0"/>
                <w:sz w:val="21"/>
                <w:szCs w:val="21"/>
              </w:rPr>
              <w:t>中共武平县委办公室 武平县人民政府办公室关于印发</w:t>
            </w:r>
            <w:r>
              <w:rPr>
                <w:rFonts w:hint="eastAsia" w:ascii="仿宋_GB2312" w:hAnsi="宋体" w:cs="宋体"/>
                <w:kern w:val="0"/>
                <w:sz w:val="21"/>
                <w:szCs w:val="21"/>
              </w:rPr>
              <w:t>〈</w:t>
            </w:r>
            <w:r>
              <w:rPr>
                <w:rFonts w:ascii="仿宋_GB2312" w:hAnsi="宋体" w:cs="宋体"/>
                <w:kern w:val="0"/>
                <w:sz w:val="21"/>
                <w:szCs w:val="21"/>
              </w:rPr>
              <w:t>武平县人民政府办公室职能配置、内设机构和人员编制规定</w:t>
            </w:r>
            <w:r>
              <w:rPr>
                <w:rFonts w:hint="eastAsia" w:ascii="仿宋_GB2312" w:hAnsi="宋体" w:cs="宋体"/>
                <w:kern w:val="0"/>
                <w:sz w:val="21"/>
                <w:szCs w:val="21"/>
              </w:rPr>
              <w:t>〉</w:t>
            </w:r>
            <w:r>
              <w:rPr>
                <w:rFonts w:ascii="仿宋_GB2312" w:hAnsi="宋体" w:cs="宋体"/>
                <w:kern w:val="0"/>
                <w:sz w:val="21"/>
                <w:szCs w:val="21"/>
              </w:rPr>
              <w:t>的通知</w:t>
            </w:r>
            <w:r>
              <w:rPr>
                <w:rFonts w:hint="eastAsia" w:ascii="仿宋_GB2312" w:hAnsi="宋体" w:cs="宋体"/>
                <w:kern w:val="0"/>
                <w:sz w:val="21"/>
                <w:szCs w:val="21"/>
              </w:rPr>
              <w:t>》(武委办发〔2019〕16号)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府保卫股）。开展公共机构节能宣传、教育和培训，普及节能科学知识。</w:t>
            </w:r>
          </w:p>
        </w:tc>
        <w:tc>
          <w:tcPr>
            <w:tcW w:w="850" w:type="dxa"/>
            <w:tcBorders>
              <w:top w:val="single" w:color="auto" w:sz="4" w:space="0"/>
              <w:left w:val="nil"/>
              <w:bottom w:val="single" w:color="auto" w:sz="4" w:space="0"/>
              <w:right w:val="single" w:color="auto" w:sz="4" w:space="0"/>
            </w:tcBorders>
            <w:noWrap w:val="0"/>
            <w:vAlign w:val="center"/>
          </w:tcPr>
          <w:p w14:paraId="2DB7BFA2">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single" w:color="auto" w:sz="4" w:space="0"/>
              <w:left w:val="nil"/>
              <w:bottom w:val="single" w:color="auto" w:sz="4" w:space="0"/>
              <w:right w:val="single" w:color="auto" w:sz="4" w:space="0"/>
            </w:tcBorders>
            <w:noWrap w:val="0"/>
            <w:vAlign w:val="center"/>
          </w:tcPr>
          <w:p w14:paraId="33B5075C">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single" w:color="auto" w:sz="4" w:space="0"/>
              <w:left w:val="nil"/>
              <w:bottom w:val="single" w:color="auto" w:sz="4" w:space="0"/>
              <w:right w:val="single" w:color="auto" w:sz="4" w:space="0"/>
            </w:tcBorders>
            <w:noWrap w:val="0"/>
            <w:vAlign w:val="center"/>
          </w:tcPr>
          <w:p w14:paraId="5458EC0E">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single" w:color="auto" w:sz="4" w:space="0"/>
              <w:left w:val="nil"/>
              <w:bottom w:val="single" w:color="auto" w:sz="4" w:space="0"/>
              <w:right w:val="single" w:color="auto" w:sz="4" w:space="0"/>
            </w:tcBorders>
            <w:noWrap w:val="0"/>
            <w:vAlign w:val="center"/>
          </w:tcPr>
          <w:p w14:paraId="5DDCE834">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r>
      <w:tr w14:paraId="0BA964C1">
        <w:tblPrEx>
          <w:tblCellMar>
            <w:top w:w="0" w:type="dxa"/>
            <w:left w:w="108" w:type="dxa"/>
            <w:bottom w:w="0" w:type="dxa"/>
            <w:right w:w="108" w:type="dxa"/>
          </w:tblCellMar>
        </w:tblPrEx>
        <w:trPr>
          <w:trHeight w:val="1765" w:hRule="atLeast"/>
        </w:trPr>
        <w:tc>
          <w:tcPr>
            <w:tcW w:w="622" w:type="dxa"/>
            <w:tcBorders>
              <w:top w:val="nil"/>
              <w:left w:val="single" w:color="auto" w:sz="4" w:space="0"/>
              <w:bottom w:val="single" w:color="auto" w:sz="4" w:space="0"/>
              <w:right w:val="single" w:color="auto" w:sz="4" w:space="0"/>
            </w:tcBorders>
            <w:noWrap w:val="0"/>
            <w:vAlign w:val="center"/>
          </w:tcPr>
          <w:p w14:paraId="4DB65187">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7</w:t>
            </w:r>
          </w:p>
        </w:tc>
        <w:tc>
          <w:tcPr>
            <w:tcW w:w="1757" w:type="dxa"/>
            <w:tcBorders>
              <w:top w:val="nil"/>
              <w:left w:val="nil"/>
              <w:bottom w:val="single" w:color="auto" w:sz="4" w:space="0"/>
              <w:right w:val="single" w:color="auto" w:sz="4" w:space="0"/>
            </w:tcBorders>
            <w:noWrap w:val="0"/>
            <w:vAlign w:val="center"/>
          </w:tcPr>
          <w:p w14:paraId="5A6ECB90">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对公共节能机构的业务指导</w:t>
            </w:r>
          </w:p>
        </w:tc>
        <w:tc>
          <w:tcPr>
            <w:tcW w:w="783" w:type="dxa"/>
            <w:tcBorders>
              <w:top w:val="nil"/>
              <w:left w:val="nil"/>
              <w:bottom w:val="single" w:color="auto" w:sz="4" w:space="0"/>
              <w:right w:val="single" w:color="auto" w:sz="4" w:space="0"/>
            </w:tcBorders>
            <w:noWrap w:val="0"/>
            <w:vAlign w:val="center"/>
          </w:tcPr>
          <w:p w14:paraId="1E90FC32">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nil"/>
              <w:left w:val="nil"/>
              <w:bottom w:val="single" w:color="auto" w:sz="4" w:space="0"/>
              <w:right w:val="single" w:color="auto" w:sz="4" w:space="0"/>
            </w:tcBorders>
            <w:noWrap w:val="0"/>
            <w:vAlign w:val="center"/>
          </w:tcPr>
          <w:p w14:paraId="239E7EAB">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xml:space="preserve">   《</w:t>
            </w:r>
            <w:r>
              <w:rPr>
                <w:rFonts w:ascii="仿宋_GB2312" w:hAnsi="宋体" w:cs="宋体"/>
                <w:kern w:val="0"/>
                <w:sz w:val="21"/>
                <w:szCs w:val="21"/>
              </w:rPr>
              <w:t>中共武平县委办公室 武平县人民政府办公室关于印发</w:t>
            </w:r>
            <w:r>
              <w:rPr>
                <w:rFonts w:hint="eastAsia" w:ascii="仿宋_GB2312" w:hAnsi="宋体" w:cs="宋体"/>
                <w:kern w:val="0"/>
                <w:sz w:val="21"/>
                <w:szCs w:val="21"/>
              </w:rPr>
              <w:t>〈</w:t>
            </w:r>
            <w:r>
              <w:rPr>
                <w:rFonts w:ascii="仿宋_GB2312" w:hAnsi="宋体" w:cs="宋体"/>
                <w:kern w:val="0"/>
                <w:sz w:val="21"/>
                <w:szCs w:val="21"/>
              </w:rPr>
              <w:t>武平县人民政府办公室职能配置、内设机构和人员编制规定</w:t>
            </w:r>
            <w:r>
              <w:rPr>
                <w:rFonts w:hint="eastAsia" w:ascii="仿宋_GB2312" w:hAnsi="宋体" w:cs="宋体"/>
                <w:kern w:val="0"/>
                <w:sz w:val="21"/>
                <w:szCs w:val="21"/>
              </w:rPr>
              <w:t>〉</w:t>
            </w:r>
            <w:r>
              <w:rPr>
                <w:rFonts w:ascii="仿宋_GB2312" w:hAnsi="宋体" w:cs="宋体"/>
                <w:kern w:val="0"/>
                <w:sz w:val="21"/>
                <w:szCs w:val="21"/>
              </w:rPr>
              <w:t>的通知</w:t>
            </w:r>
            <w:r>
              <w:rPr>
                <w:rFonts w:hint="eastAsia" w:ascii="仿宋_GB2312" w:hAnsi="宋体" w:cs="宋体"/>
                <w:kern w:val="0"/>
                <w:sz w:val="21"/>
                <w:szCs w:val="21"/>
              </w:rPr>
              <w:t>》(武委办发〔2019〕16号)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府保卫股）。加强对公共节能机构的业务指导。</w:t>
            </w:r>
          </w:p>
        </w:tc>
        <w:tc>
          <w:tcPr>
            <w:tcW w:w="850" w:type="dxa"/>
            <w:tcBorders>
              <w:top w:val="nil"/>
              <w:left w:val="nil"/>
              <w:bottom w:val="single" w:color="auto" w:sz="4" w:space="0"/>
              <w:right w:val="single" w:color="auto" w:sz="4" w:space="0"/>
            </w:tcBorders>
            <w:noWrap w:val="0"/>
            <w:vAlign w:val="center"/>
          </w:tcPr>
          <w:p w14:paraId="7E50FDB4">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nil"/>
              <w:left w:val="nil"/>
              <w:bottom w:val="single" w:color="auto" w:sz="4" w:space="0"/>
              <w:right w:val="single" w:color="auto" w:sz="4" w:space="0"/>
            </w:tcBorders>
            <w:noWrap w:val="0"/>
            <w:vAlign w:val="center"/>
          </w:tcPr>
          <w:p w14:paraId="6F426030">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nil"/>
              <w:left w:val="nil"/>
              <w:bottom w:val="single" w:color="auto" w:sz="4" w:space="0"/>
              <w:right w:val="single" w:color="auto" w:sz="4" w:space="0"/>
            </w:tcBorders>
            <w:noWrap w:val="0"/>
            <w:vAlign w:val="center"/>
          </w:tcPr>
          <w:p w14:paraId="31DAE24B">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nil"/>
              <w:left w:val="nil"/>
              <w:bottom w:val="single" w:color="auto" w:sz="4" w:space="0"/>
              <w:right w:val="single" w:color="auto" w:sz="4" w:space="0"/>
            </w:tcBorders>
            <w:noWrap w:val="0"/>
            <w:vAlign w:val="center"/>
          </w:tcPr>
          <w:p w14:paraId="20A0989E">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r>
      <w:tr w14:paraId="7462FC22">
        <w:tblPrEx>
          <w:tblCellMar>
            <w:top w:w="0" w:type="dxa"/>
            <w:left w:w="108" w:type="dxa"/>
            <w:bottom w:w="0" w:type="dxa"/>
            <w:right w:w="108" w:type="dxa"/>
          </w:tblCellMar>
        </w:tblPrEx>
        <w:trPr>
          <w:trHeight w:val="699"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61AC28A3">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8</w:t>
            </w:r>
          </w:p>
        </w:tc>
        <w:tc>
          <w:tcPr>
            <w:tcW w:w="1757" w:type="dxa"/>
            <w:tcBorders>
              <w:top w:val="single" w:color="auto" w:sz="4" w:space="0"/>
              <w:left w:val="nil"/>
              <w:bottom w:val="single" w:color="auto" w:sz="4" w:space="0"/>
              <w:right w:val="single" w:color="auto" w:sz="4" w:space="0"/>
            </w:tcBorders>
            <w:noWrap w:val="0"/>
            <w:vAlign w:val="center"/>
          </w:tcPr>
          <w:p w14:paraId="4CDAE590">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贯彻执行国家和省、市、县有关公务车辆配备和使用管理规定</w:t>
            </w:r>
          </w:p>
        </w:tc>
        <w:tc>
          <w:tcPr>
            <w:tcW w:w="783" w:type="dxa"/>
            <w:tcBorders>
              <w:top w:val="single" w:color="auto" w:sz="4" w:space="0"/>
              <w:left w:val="nil"/>
              <w:bottom w:val="single" w:color="auto" w:sz="4" w:space="0"/>
              <w:right w:val="single" w:color="auto" w:sz="4" w:space="0"/>
            </w:tcBorders>
            <w:noWrap w:val="0"/>
            <w:vAlign w:val="center"/>
          </w:tcPr>
          <w:p w14:paraId="084BFE06">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171FE8E5">
            <w:pPr>
              <w:widowControl/>
              <w:spacing w:line="22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1.《机关事务管理条例》（国务院令第621号）</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57F04FEA">
            <w:pPr>
              <w:widowControl/>
              <w:spacing w:line="22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第二十四条第二款  县级以上人民政府公务用车主管部门负责本级政府公务用车管理工作，指导和监督下级政府公务用车管理工作。</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61558AE7">
            <w:pPr>
              <w:widowControl/>
              <w:spacing w:line="22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2.《中共中央办公厅 国务院办公厅关于印发&lt;党政机关公务用车管理办法&gt;的通知》（中办发〔2017〕71号）</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68861D3C">
            <w:pPr>
              <w:widowControl/>
              <w:spacing w:line="220" w:lineRule="exact"/>
              <w:ind w:firstLine="420" w:firstLineChars="200"/>
              <w:rPr>
                <w:rFonts w:hint="eastAsia" w:ascii="仿宋_GB2312" w:hAnsi="宋体" w:cs="宋体"/>
                <w:spacing w:val="-11"/>
                <w:kern w:val="0"/>
                <w:sz w:val="21"/>
                <w:szCs w:val="21"/>
              </w:rPr>
            </w:pPr>
            <w:r>
              <w:rPr>
                <w:rFonts w:hint="eastAsia" w:ascii="仿宋_GB2312" w:hAnsi="宋体" w:cs="宋体"/>
                <w:kern w:val="0"/>
                <w:sz w:val="21"/>
                <w:szCs w:val="21"/>
              </w:rPr>
              <w:t>第五条  党政机关公务用车实行统一制度规范、分级分类管理。党政机关公务用车主管部门负责本级党政机关公务用车管理工作，</w:t>
            </w:r>
            <w:r>
              <w:rPr>
                <w:rFonts w:hint="eastAsia" w:ascii="仿宋_GB2312" w:hAnsi="宋体" w:cs="宋体"/>
                <w:spacing w:val="-11"/>
                <w:kern w:val="0"/>
                <w:sz w:val="21"/>
                <w:szCs w:val="21"/>
              </w:rPr>
              <w:t>根据职责实行统一编制、统一标准、统一购置经费、统一采购配备管理；指导监督下级党政机关公务用车管理工作。</w:t>
            </w:r>
            <w:r>
              <w:rPr>
                <w:rFonts w:hint="eastAsia" w:ascii="仿宋_GB2312" w:hAnsi="宋体" w:cs="宋体"/>
                <w:spacing w:val="-11"/>
                <w:kern w:val="0"/>
                <w:sz w:val="21"/>
                <w:szCs w:val="21"/>
              </w:rPr>
              <w:br w:type="page"/>
            </w:r>
            <w:r>
              <w:rPr>
                <w:rFonts w:hint="eastAsia" w:ascii="仿宋_GB2312" w:hAnsi="宋体" w:cs="宋体"/>
                <w:spacing w:val="-11"/>
                <w:kern w:val="0"/>
                <w:sz w:val="21"/>
                <w:szCs w:val="21"/>
              </w:rPr>
              <w:t xml:space="preserve">    </w:t>
            </w:r>
          </w:p>
          <w:p w14:paraId="3C5DEFAA">
            <w:pPr>
              <w:widowControl/>
              <w:spacing w:line="22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3.</w:t>
            </w:r>
            <w:r>
              <w:rPr>
                <w:rFonts w:hint="eastAsia" w:ascii="仿宋_GB2312" w:hAnsi="宋体" w:cs="宋体"/>
                <w:spacing w:val="-11"/>
                <w:kern w:val="0"/>
                <w:sz w:val="21"/>
                <w:szCs w:val="21"/>
              </w:rPr>
              <w:t>《福建省机关事务管理办法》（福建省人民政府令第150号）</w:t>
            </w:r>
            <w:r>
              <w:rPr>
                <w:rFonts w:hint="eastAsia" w:ascii="仿宋_GB2312" w:hAnsi="宋体" w:cs="宋体"/>
                <w:spacing w:val="-11"/>
                <w:kern w:val="0"/>
                <w:sz w:val="21"/>
                <w:szCs w:val="21"/>
              </w:rPr>
              <w:br w:type="page"/>
            </w:r>
            <w:r>
              <w:rPr>
                <w:rFonts w:hint="eastAsia" w:ascii="仿宋_GB2312" w:hAnsi="宋体" w:cs="宋体"/>
                <w:spacing w:val="-11"/>
                <w:kern w:val="0"/>
                <w:sz w:val="21"/>
                <w:szCs w:val="21"/>
              </w:rPr>
              <w:t xml:space="preserve">    </w:t>
            </w:r>
          </w:p>
          <w:p w14:paraId="6A5EB835">
            <w:pPr>
              <w:widowControl/>
              <w:spacing w:line="22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第二十二条  县级以上人民政府公务用车主管部门负责本级机关公务用车管理工作，合理有效配置公务用车资源，创新公务交通分类提供方式，保障公务出行；结合本地实际组织公务用车保险、维修、加油和公务交通租赁的政府集中采购，降低运行成本；指导和监督下级机关公务用车管理工作。</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696FDFEE">
            <w:pPr>
              <w:widowControl/>
              <w:spacing w:line="22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4.《中共福建省委办公厅 福建省人民政府办公厅关于印发&lt;福建省党政机关办公用房管理办法&gt;和&lt;福建省党政机关公务用车管理办法&gt;的通知》（闽委办发〔2022〕6号）</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255FFFAA">
            <w:pPr>
              <w:widowControl/>
              <w:spacing w:line="220" w:lineRule="exact"/>
              <w:ind w:firstLine="420" w:firstLineChars="200"/>
              <w:rPr>
                <w:rFonts w:hint="eastAsia" w:ascii="仿宋_GB2312" w:hAnsi="宋体" w:cs="宋体"/>
                <w:spacing w:val="-11"/>
                <w:kern w:val="0"/>
                <w:sz w:val="21"/>
                <w:szCs w:val="21"/>
              </w:rPr>
            </w:pPr>
            <w:r>
              <w:rPr>
                <w:rFonts w:hint="eastAsia" w:ascii="仿宋_GB2312" w:hAnsi="宋体" w:cs="宋体"/>
                <w:kern w:val="0"/>
                <w:sz w:val="21"/>
                <w:szCs w:val="21"/>
              </w:rPr>
              <w:t>第五条党政机关公务用车实行统一制度规范、分级分类管理。党政机关公务用车主管部门负责本级党政机关公务用车管 理工作，</w:t>
            </w:r>
            <w:r>
              <w:rPr>
                <w:rFonts w:hint="eastAsia" w:ascii="仿宋_GB2312" w:hAnsi="宋体" w:cs="宋体"/>
                <w:spacing w:val="-11"/>
                <w:kern w:val="0"/>
                <w:sz w:val="21"/>
                <w:szCs w:val="21"/>
              </w:rPr>
              <w:t>根据职责实行统一编制、统一标准、统一购置经费、统一采购配备管理；指导监督下级党政机关公务用车管理工作。</w:t>
            </w:r>
          </w:p>
          <w:p w14:paraId="523A621C">
            <w:pPr>
              <w:widowControl/>
              <w:spacing w:line="22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5.《中共武平县委办公室 武平县人民政府办公室关于印发〈武平县人民政府办公室职能配置、内设机构和人员编制规定〉的通知》(武委办发〔2019〕16号)</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392D0BC2">
            <w:pPr>
              <w:widowControl/>
              <w:spacing w:line="22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府保卫股）。贯彻执行国家和省、市、县有关公务车辆配备和使用管理规定。</w:t>
            </w:r>
          </w:p>
        </w:tc>
        <w:tc>
          <w:tcPr>
            <w:tcW w:w="850" w:type="dxa"/>
            <w:tcBorders>
              <w:top w:val="single" w:color="auto" w:sz="4" w:space="0"/>
              <w:left w:val="nil"/>
              <w:bottom w:val="single" w:color="auto" w:sz="4" w:space="0"/>
              <w:right w:val="single" w:color="auto" w:sz="4" w:space="0"/>
            </w:tcBorders>
            <w:noWrap w:val="0"/>
            <w:vAlign w:val="center"/>
          </w:tcPr>
          <w:p w14:paraId="50CBF032">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single" w:color="auto" w:sz="4" w:space="0"/>
              <w:left w:val="nil"/>
              <w:bottom w:val="single" w:color="auto" w:sz="4" w:space="0"/>
              <w:right w:val="single" w:color="auto" w:sz="4" w:space="0"/>
            </w:tcBorders>
            <w:noWrap w:val="0"/>
            <w:vAlign w:val="center"/>
          </w:tcPr>
          <w:p w14:paraId="7983EB90">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single" w:color="auto" w:sz="4" w:space="0"/>
              <w:left w:val="nil"/>
              <w:bottom w:val="single" w:color="auto" w:sz="4" w:space="0"/>
              <w:right w:val="single" w:color="auto" w:sz="4" w:space="0"/>
            </w:tcBorders>
            <w:noWrap w:val="0"/>
            <w:vAlign w:val="center"/>
          </w:tcPr>
          <w:p w14:paraId="14FA63DB">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single" w:color="auto" w:sz="4" w:space="0"/>
              <w:left w:val="nil"/>
              <w:bottom w:val="single" w:color="auto" w:sz="4" w:space="0"/>
              <w:right w:val="single" w:color="auto" w:sz="4" w:space="0"/>
            </w:tcBorders>
            <w:noWrap w:val="0"/>
            <w:vAlign w:val="center"/>
          </w:tcPr>
          <w:p w14:paraId="653C8C9F">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r>
      <w:tr w14:paraId="779A20A4">
        <w:tblPrEx>
          <w:tblCellMar>
            <w:top w:w="0" w:type="dxa"/>
            <w:left w:w="108" w:type="dxa"/>
            <w:bottom w:w="0" w:type="dxa"/>
            <w:right w:w="108" w:type="dxa"/>
          </w:tblCellMar>
        </w:tblPrEx>
        <w:trPr>
          <w:trHeight w:val="3038"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22A6668B">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9</w:t>
            </w:r>
          </w:p>
        </w:tc>
        <w:tc>
          <w:tcPr>
            <w:tcW w:w="1757" w:type="dxa"/>
            <w:tcBorders>
              <w:top w:val="single" w:color="auto" w:sz="4" w:space="0"/>
              <w:left w:val="nil"/>
              <w:bottom w:val="single" w:color="auto" w:sz="4" w:space="0"/>
              <w:right w:val="single" w:color="auto" w:sz="4" w:space="0"/>
            </w:tcBorders>
            <w:noWrap w:val="0"/>
            <w:vAlign w:val="center"/>
          </w:tcPr>
          <w:p w14:paraId="3322C05F">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县直党政机关、企事业单位公车牌号的安排</w:t>
            </w:r>
          </w:p>
        </w:tc>
        <w:tc>
          <w:tcPr>
            <w:tcW w:w="783" w:type="dxa"/>
            <w:tcBorders>
              <w:top w:val="single" w:color="auto" w:sz="4" w:space="0"/>
              <w:left w:val="nil"/>
              <w:bottom w:val="single" w:color="auto" w:sz="4" w:space="0"/>
              <w:right w:val="single" w:color="auto" w:sz="4" w:space="0"/>
            </w:tcBorders>
            <w:noWrap w:val="0"/>
            <w:vAlign w:val="center"/>
          </w:tcPr>
          <w:p w14:paraId="398D65EB">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3870EA1D">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xml:space="preserve">    1.《机关事务管理条例》（国务院令第621号）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第二十四条第二款  县级以上人民政府公务用车主管部门负责本级政府公务用车管理工作，指导和监督下级政府公务用车管理工作。</w:t>
            </w:r>
            <w:r>
              <w:rPr>
                <w:rFonts w:hint="eastAsia" w:ascii="仿宋_GB2312" w:hAnsi="宋体" w:cs="宋体"/>
                <w:kern w:val="0"/>
                <w:sz w:val="21"/>
                <w:szCs w:val="21"/>
              </w:rPr>
              <w:br w:type="textWrapping"/>
            </w:r>
            <w:r>
              <w:rPr>
                <w:rFonts w:hint="eastAsia" w:ascii="仿宋_GB2312" w:hAnsi="宋体" w:cs="宋体"/>
                <w:kern w:val="0"/>
                <w:sz w:val="21"/>
                <w:szCs w:val="21"/>
              </w:rPr>
              <w:t xml:space="preserve">    2.《中共武平县委办公室 武平县人民政府办公室关于印发〈武平县人民政府办公室职能配置、内设机构和人员编制规定〉的通知》(武委办发〔2019〕16号)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府保卫股）。负责县直党政机关、企事业单位公车牌号的安排。</w:t>
            </w:r>
          </w:p>
        </w:tc>
        <w:tc>
          <w:tcPr>
            <w:tcW w:w="850" w:type="dxa"/>
            <w:tcBorders>
              <w:top w:val="single" w:color="auto" w:sz="4" w:space="0"/>
              <w:left w:val="nil"/>
              <w:bottom w:val="single" w:color="auto" w:sz="4" w:space="0"/>
              <w:right w:val="single" w:color="auto" w:sz="4" w:space="0"/>
            </w:tcBorders>
            <w:noWrap w:val="0"/>
            <w:vAlign w:val="center"/>
          </w:tcPr>
          <w:p w14:paraId="619EAE89">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single" w:color="auto" w:sz="4" w:space="0"/>
              <w:left w:val="nil"/>
              <w:bottom w:val="single" w:color="auto" w:sz="4" w:space="0"/>
              <w:right w:val="single" w:color="auto" w:sz="4" w:space="0"/>
            </w:tcBorders>
            <w:noWrap w:val="0"/>
            <w:vAlign w:val="center"/>
          </w:tcPr>
          <w:p w14:paraId="5225A5B5">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single" w:color="auto" w:sz="4" w:space="0"/>
              <w:left w:val="nil"/>
              <w:bottom w:val="single" w:color="auto" w:sz="4" w:space="0"/>
              <w:right w:val="single" w:color="auto" w:sz="4" w:space="0"/>
            </w:tcBorders>
            <w:noWrap w:val="0"/>
            <w:vAlign w:val="center"/>
          </w:tcPr>
          <w:p w14:paraId="356F96F2">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single" w:color="auto" w:sz="4" w:space="0"/>
              <w:left w:val="nil"/>
              <w:bottom w:val="single" w:color="auto" w:sz="4" w:space="0"/>
              <w:right w:val="single" w:color="auto" w:sz="4" w:space="0"/>
            </w:tcBorders>
            <w:noWrap w:val="0"/>
            <w:vAlign w:val="center"/>
          </w:tcPr>
          <w:p w14:paraId="32A1F7DB">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r>
      <w:tr w14:paraId="58BD6479">
        <w:tblPrEx>
          <w:tblCellMar>
            <w:top w:w="0" w:type="dxa"/>
            <w:left w:w="108" w:type="dxa"/>
            <w:bottom w:w="0" w:type="dxa"/>
            <w:right w:w="108" w:type="dxa"/>
          </w:tblCellMar>
        </w:tblPrEx>
        <w:trPr>
          <w:trHeight w:val="2072" w:hRule="atLeast"/>
        </w:trPr>
        <w:tc>
          <w:tcPr>
            <w:tcW w:w="622" w:type="dxa"/>
            <w:tcBorders>
              <w:top w:val="nil"/>
              <w:left w:val="single" w:color="auto" w:sz="4" w:space="0"/>
              <w:bottom w:val="single" w:color="auto" w:sz="4" w:space="0"/>
              <w:right w:val="single" w:color="auto" w:sz="4" w:space="0"/>
            </w:tcBorders>
            <w:noWrap w:val="0"/>
            <w:vAlign w:val="center"/>
          </w:tcPr>
          <w:p w14:paraId="6A05B72B">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10</w:t>
            </w:r>
          </w:p>
        </w:tc>
        <w:tc>
          <w:tcPr>
            <w:tcW w:w="1757" w:type="dxa"/>
            <w:tcBorders>
              <w:top w:val="nil"/>
              <w:left w:val="nil"/>
              <w:bottom w:val="single" w:color="auto" w:sz="4" w:space="0"/>
              <w:right w:val="single" w:color="auto" w:sz="4" w:space="0"/>
            </w:tcBorders>
            <w:noWrap w:val="0"/>
            <w:vAlign w:val="center"/>
          </w:tcPr>
          <w:p w14:paraId="2AF7B6D2">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负责公车服务中心的公务车辆编制核定、审批等管理工作</w:t>
            </w:r>
          </w:p>
        </w:tc>
        <w:tc>
          <w:tcPr>
            <w:tcW w:w="783" w:type="dxa"/>
            <w:tcBorders>
              <w:top w:val="nil"/>
              <w:left w:val="nil"/>
              <w:bottom w:val="single" w:color="auto" w:sz="4" w:space="0"/>
              <w:right w:val="single" w:color="auto" w:sz="4" w:space="0"/>
            </w:tcBorders>
            <w:noWrap w:val="0"/>
            <w:vAlign w:val="center"/>
          </w:tcPr>
          <w:p w14:paraId="695D7928">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nil"/>
              <w:left w:val="nil"/>
              <w:bottom w:val="single" w:color="auto" w:sz="4" w:space="0"/>
              <w:right w:val="single" w:color="auto" w:sz="4" w:space="0"/>
            </w:tcBorders>
            <w:noWrap w:val="0"/>
            <w:vAlign w:val="center"/>
          </w:tcPr>
          <w:p w14:paraId="6AD7A816">
            <w:pPr>
              <w:widowControl/>
              <w:spacing w:line="28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《中共武平县委办公室 武平县人民政府办公室关于印发〈武平县人民政府办公室职能配置、内设机构和人员编制规定〉的通知》(武委办发〔2019〕16号)</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32F6AB43">
            <w:pPr>
              <w:widowControl/>
              <w:spacing w:line="280" w:lineRule="exact"/>
              <w:ind w:firstLine="420" w:firstLineChars="200"/>
              <w:rPr>
                <w:rFonts w:hint="eastAsia" w:ascii="仿宋_GB2312" w:hAnsi="宋体" w:cs="宋体"/>
                <w:kern w:val="0"/>
                <w:sz w:val="21"/>
                <w:szCs w:val="21"/>
              </w:rPr>
            </w:pPr>
            <w:r>
              <w:rPr>
                <w:rFonts w:hint="eastAsia" w:ascii="仿宋_GB2312" w:hAnsi="宋体" w:cs="宋体"/>
                <w:kern w:val="0"/>
                <w:sz w:val="21"/>
                <w:szCs w:val="21"/>
              </w:rPr>
              <w:t>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府保卫股）。负责公车服务中心的公务车辆编制核定、审批等管理工作。</w:t>
            </w:r>
          </w:p>
        </w:tc>
        <w:tc>
          <w:tcPr>
            <w:tcW w:w="850" w:type="dxa"/>
            <w:tcBorders>
              <w:top w:val="nil"/>
              <w:left w:val="nil"/>
              <w:bottom w:val="single" w:color="auto" w:sz="4" w:space="0"/>
              <w:right w:val="single" w:color="auto" w:sz="4" w:space="0"/>
            </w:tcBorders>
            <w:noWrap w:val="0"/>
            <w:vAlign w:val="center"/>
          </w:tcPr>
          <w:p w14:paraId="497DC221">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nil"/>
              <w:left w:val="nil"/>
              <w:bottom w:val="single" w:color="auto" w:sz="4" w:space="0"/>
              <w:right w:val="single" w:color="auto" w:sz="4" w:space="0"/>
            </w:tcBorders>
            <w:noWrap w:val="0"/>
            <w:vAlign w:val="center"/>
          </w:tcPr>
          <w:p w14:paraId="769D8D8F">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nil"/>
              <w:left w:val="nil"/>
              <w:bottom w:val="single" w:color="auto" w:sz="4" w:space="0"/>
              <w:right w:val="single" w:color="auto" w:sz="4" w:space="0"/>
            </w:tcBorders>
            <w:noWrap w:val="0"/>
            <w:vAlign w:val="center"/>
          </w:tcPr>
          <w:p w14:paraId="48BB594E">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nil"/>
              <w:left w:val="nil"/>
              <w:bottom w:val="single" w:color="auto" w:sz="4" w:space="0"/>
              <w:right w:val="single" w:color="auto" w:sz="4" w:space="0"/>
            </w:tcBorders>
            <w:noWrap w:val="0"/>
            <w:vAlign w:val="center"/>
          </w:tcPr>
          <w:p w14:paraId="540A59EB">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r>
      <w:tr w14:paraId="64366B31">
        <w:tblPrEx>
          <w:tblCellMar>
            <w:top w:w="0" w:type="dxa"/>
            <w:left w:w="108" w:type="dxa"/>
            <w:bottom w:w="0" w:type="dxa"/>
            <w:right w:w="108" w:type="dxa"/>
          </w:tblCellMar>
        </w:tblPrEx>
        <w:trPr>
          <w:trHeight w:val="2072"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76D92C03">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11</w:t>
            </w:r>
          </w:p>
        </w:tc>
        <w:tc>
          <w:tcPr>
            <w:tcW w:w="1757" w:type="dxa"/>
            <w:tcBorders>
              <w:top w:val="single" w:color="auto" w:sz="4" w:space="0"/>
              <w:left w:val="single" w:color="auto" w:sz="4" w:space="0"/>
              <w:bottom w:val="single" w:color="auto" w:sz="4" w:space="0"/>
              <w:right w:val="single" w:color="auto" w:sz="4" w:space="0"/>
            </w:tcBorders>
            <w:noWrap w:val="0"/>
            <w:vAlign w:val="center"/>
          </w:tcPr>
          <w:p w14:paraId="4DF59961">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贯彻执行国家和省、市、县有关机关办公用房管理规定</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770052E3">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single" w:color="auto" w:sz="4" w:space="0"/>
              <w:left w:val="single" w:color="auto" w:sz="4" w:space="0"/>
              <w:bottom w:val="single" w:color="auto" w:sz="4" w:space="0"/>
              <w:right w:val="single" w:color="auto" w:sz="4" w:space="0"/>
            </w:tcBorders>
            <w:noWrap w:val="0"/>
            <w:vAlign w:val="center"/>
          </w:tcPr>
          <w:p w14:paraId="6D76C6D6">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xml:space="preserve">    《中共武平县委办公室 武平县人民政府办公室关于印发〈武平县人民政府办公室职能配置、内设机构和人员编制规定〉的通知》(武委办发〔2019〕16号)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府保卫股）。负责贯彻执行国家和省、市、县有关机关办公用房管理规定。</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CFA5881">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1B7C147">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B01AADC">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6B47E518">
            <w:pPr>
              <w:widowControl/>
              <w:spacing w:line="280" w:lineRule="exact"/>
              <w:rPr>
                <w:rFonts w:hint="eastAsia" w:ascii="仿宋_GB2312" w:hAnsi="宋体" w:cs="宋体"/>
                <w:kern w:val="0"/>
                <w:sz w:val="21"/>
                <w:szCs w:val="21"/>
              </w:rPr>
            </w:pPr>
            <w:r>
              <w:rPr>
                <w:rFonts w:hint="eastAsia" w:ascii="仿宋_GB2312" w:hAnsi="宋体" w:cs="宋体"/>
                <w:kern w:val="0"/>
                <w:sz w:val="21"/>
                <w:szCs w:val="21"/>
              </w:rPr>
              <w:t>　</w:t>
            </w:r>
          </w:p>
        </w:tc>
      </w:tr>
      <w:tr w14:paraId="2F806C04">
        <w:tblPrEx>
          <w:tblCellMar>
            <w:top w:w="0" w:type="dxa"/>
            <w:left w:w="108" w:type="dxa"/>
            <w:bottom w:w="0" w:type="dxa"/>
            <w:right w:w="108" w:type="dxa"/>
          </w:tblCellMar>
        </w:tblPrEx>
        <w:trPr>
          <w:trHeight w:val="3335"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24F3E85D">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12</w:t>
            </w:r>
          </w:p>
        </w:tc>
        <w:tc>
          <w:tcPr>
            <w:tcW w:w="1757" w:type="dxa"/>
            <w:tcBorders>
              <w:top w:val="single" w:color="auto" w:sz="4" w:space="0"/>
              <w:left w:val="nil"/>
              <w:bottom w:val="single" w:color="auto" w:sz="4" w:space="0"/>
              <w:right w:val="single" w:color="auto" w:sz="4" w:space="0"/>
            </w:tcBorders>
            <w:noWrap w:val="0"/>
            <w:vAlign w:val="center"/>
          </w:tcPr>
          <w:p w14:paraId="39472AA4">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制定我县党政机关办公用房管理制度</w:t>
            </w:r>
          </w:p>
        </w:tc>
        <w:tc>
          <w:tcPr>
            <w:tcW w:w="783" w:type="dxa"/>
            <w:tcBorders>
              <w:top w:val="single" w:color="auto" w:sz="4" w:space="0"/>
              <w:left w:val="nil"/>
              <w:bottom w:val="single" w:color="auto" w:sz="4" w:space="0"/>
              <w:right w:val="single" w:color="auto" w:sz="4" w:space="0"/>
            </w:tcBorders>
            <w:noWrap w:val="0"/>
            <w:vAlign w:val="center"/>
          </w:tcPr>
          <w:p w14:paraId="7A39EC51">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151D45A1">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xml:space="preserve">    1.</w:t>
            </w:r>
            <w:r>
              <w:rPr>
                <w:rFonts w:hint="eastAsia" w:ascii="仿宋_GB2312" w:hAnsi="宋体" w:cs="宋体"/>
                <w:spacing w:val="-12"/>
                <w:kern w:val="0"/>
                <w:sz w:val="21"/>
                <w:szCs w:val="21"/>
              </w:rPr>
              <w:t>《福建省机关事务管理办法》（福建省人民政府令第150号）</w:t>
            </w:r>
            <w:r>
              <w:rPr>
                <w:rFonts w:hint="eastAsia" w:ascii="仿宋_GB2312" w:hAnsi="宋体" w:cs="宋体"/>
                <w:spacing w:val="-12"/>
                <w:kern w:val="0"/>
                <w:sz w:val="21"/>
                <w:szCs w:val="21"/>
              </w:rPr>
              <w:br w:type="textWrapping"/>
            </w:r>
            <w:r>
              <w:rPr>
                <w:rFonts w:hint="eastAsia" w:ascii="仿宋_GB2312" w:hAnsi="宋体" w:cs="宋体"/>
                <w:kern w:val="0"/>
                <w:sz w:val="21"/>
                <w:szCs w:val="21"/>
              </w:rPr>
              <w:t xml:space="preserve">    第二十条  县以上机关事务主管部门根据本级人民政府的授权，统一管理本级机关办公用房，建立健全机关办公用房管理制度，具备条件的，应当对本级机关办公用房实行统一建设。</w:t>
            </w:r>
            <w:r>
              <w:rPr>
                <w:rFonts w:hint="eastAsia" w:ascii="仿宋_GB2312" w:hAnsi="宋体" w:cs="宋体"/>
                <w:kern w:val="0"/>
                <w:sz w:val="21"/>
                <w:szCs w:val="21"/>
              </w:rPr>
              <w:br w:type="textWrapping"/>
            </w:r>
            <w:r>
              <w:rPr>
                <w:rFonts w:hint="eastAsia" w:ascii="仿宋_GB2312" w:hAnsi="宋体" w:cs="宋体"/>
                <w:kern w:val="0"/>
                <w:sz w:val="21"/>
                <w:szCs w:val="21"/>
              </w:rPr>
              <w:t xml:space="preserve">    2.《中共武平县委办公室 武平县人民政府办公室关于印发〈武平县人民政府办公室职能配置、内设机构和人员编制规定〉的通知》(武委办发〔2019〕16号)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府保卫股）。制定我县党政机关办公用房管理制度。</w:t>
            </w:r>
          </w:p>
        </w:tc>
        <w:tc>
          <w:tcPr>
            <w:tcW w:w="850" w:type="dxa"/>
            <w:tcBorders>
              <w:top w:val="single" w:color="auto" w:sz="4" w:space="0"/>
              <w:left w:val="nil"/>
              <w:bottom w:val="single" w:color="auto" w:sz="4" w:space="0"/>
              <w:right w:val="single" w:color="auto" w:sz="4" w:space="0"/>
            </w:tcBorders>
            <w:noWrap w:val="0"/>
            <w:vAlign w:val="center"/>
          </w:tcPr>
          <w:p w14:paraId="39ECAD73">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single" w:color="auto" w:sz="4" w:space="0"/>
              <w:left w:val="nil"/>
              <w:bottom w:val="single" w:color="auto" w:sz="4" w:space="0"/>
              <w:right w:val="single" w:color="auto" w:sz="4" w:space="0"/>
            </w:tcBorders>
            <w:noWrap w:val="0"/>
            <w:vAlign w:val="center"/>
          </w:tcPr>
          <w:p w14:paraId="369DF87C">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single" w:color="auto" w:sz="4" w:space="0"/>
              <w:left w:val="nil"/>
              <w:bottom w:val="single" w:color="auto" w:sz="4" w:space="0"/>
              <w:right w:val="single" w:color="auto" w:sz="4" w:space="0"/>
            </w:tcBorders>
            <w:noWrap w:val="0"/>
            <w:vAlign w:val="center"/>
          </w:tcPr>
          <w:p w14:paraId="1EF40C1F">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single" w:color="auto" w:sz="4" w:space="0"/>
              <w:left w:val="nil"/>
              <w:bottom w:val="single" w:color="auto" w:sz="4" w:space="0"/>
              <w:right w:val="single" w:color="auto" w:sz="4" w:space="0"/>
            </w:tcBorders>
            <w:noWrap w:val="0"/>
            <w:vAlign w:val="center"/>
          </w:tcPr>
          <w:p w14:paraId="2A240F9E">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r>
      <w:tr w14:paraId="4E0361B4">
        <w:tblPrEx>
          <w:tblCellMar>
            <w:top w:w="0" w:type="dxa"/>
            <w:left w:w="108" w:type="dxa"/>
            <w:bottom w:w="0" w:type="dxa"/>
            <w:right w:w="108" w:type="dxa"/>
          </w:tblCellMar>
        </w:tblPrEx>
        <w:trPr>
          <w:trHeight w:val="1765"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4A240B0F">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13</w:t>
            </w:r>
          </w:p>
        </w:tc>
        <w:tc>
          <w:tcPr>
            <w:tcW w:w="1757" w:type="dxa"/>
            <w:tcBorders>
              <w:top w:val="single" w:color="auto" w:sz="4" w:space="0"/>
              <w:left w:val="nil"/>
              <w:bottom w:val="single" w:color="auto" w:sz="4" w:space="0"/>
              <w:right w:val="single" w:color="auto" w:sz="4" w:space="0"/>
            </w:tcBorders>
            <w:noWrap w:val="0"/>
            <w:vAlign w:val="center"/>
          </w:tcPr>
          <w:p w14:paraId="4A59436C">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专项督查党政机关、企事业单位办公用房使用情况</w:t>
            </w:r>
          </w:p>
        </w:tc>
        <w:tc>
          <w:tcPr>
            <w:tcW w:w="783" w:type="dxa"/>
            <w:tcBorders>
              <w:top w:val="single" w:color="auto" w:sz="4" w:space="0"/>
              <w:left w:val="nil"/>
              <w:bottom w:val="single" w:color="auto" w:sz="4" w:space="0"/>
              <w:right w:val="single" w:color="auto" w:sz="4" w:space="0"/>
            </w:tcBorders>
            <w:noWrap w:val="0"/>
            <w:vAlign w:val="center"/>
          </w:tcPr>
          <w:p w14:paraId="67DD82B8">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14DCE943">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xml:space="preserve">    《中共武平县委办公室 武平县人民政府办公室关于印发〈武平县人民政府办公室职能配置、内设机构和人员编制规定〉的通知》(武委办发〔2019〕16号)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府保卫股）。专项督查党政机关、企事业单位办公用房使用情况。</w:t>
            </w:r>
          </w:p>
        </w:tc>
        <w:tc>
          <w:tcPr>
            <w:tcW w:w="850" w:type="dxa"/>
            <w:tcBorders>
              <w:top w:val="single" w:color="auto" w:sz="4" w:space="0"/>
              <w:left w:val="nil"/>
              <w:bottom w:val="single" w:color="auto" w:sz="4" w:space="0"/>
              <w:right w:val="single" w:color="auto" w:sz="4" w:space="0"/>
            </w:tcBorders>
            <w:noWrap w:val="0"/>
            <w:vAlign w:val="center"/>
          </w:tcPr>
          <w:p w14:paraId="5E72328F">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single" w:color="auto" w:sz="4" w:space="0"/>
              <w:left w:val="nil"/>
              <w:bottom w:val="single" w:color="auto" w:sz="4" w:space="0"/>
              <w:right w:val="single" w:color="auto" w:sz="4" w:space="0"/>
            </w:tcBorders>
            <w:noWrap w:val="0"/>
            <w:vAlign w:val="center"/>
          </w:tcPr>
          <w:p w14:paraId="04E4DB4C">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single" w:color="auto" w:sz="4" w:space="0"/>
              <w:left w:val="nil"/>
              <w:bottom w:val="single" w:color="auto" w:sz="4" w:space="0"/>
              <w:right w:val="single" w:color="auto" w:sz="4" w:space="0"/>
            </w:tcBorders>
            <w:noWrap w:val="0"/>
            <w:vAlign w:val="center"/>
          </w:tcPr>
          <w:p w14:paraId="679FEED7">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single" w:color="auto" w:sz="4" w:space="0"/>
              <w:left w:val="nil"/>
              <w:bottom w:val="single" w:color="auto" w:sz="4" w:space="0"/>
              <w:right w:val="single" w:color="auto" w:sz="4" w:space="0"/>
            </w:tcBorders>
            <w:noWrap w:val="0"/>
            <w:vAlign w:val="center"/>
          </w:tcPr>
          <w:p w14:paraId="7DBDC66B">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r>
      <w:tr w14:paraId="65CE884E">
        <w:tblPrEx>
          <w:tblCellMar>
            <w:top w:w="0" w:type="dxa"/>
            <w:left w:w="108" w:type="dxa"/>
            <w:bottom w:w="0" w:type="dxa"/>
            <w:right w:w="108" w:type="dxa"/>
          </w:tblCellMar>
        </w:tblPrEx>
        <w:trPr>
          <w:trHeight w:val="2086" w:hRule="atLeast"/>
        </w:trPr>
        <w:tc>
          <w:tcPr>
            <w:tcW w:w="622" w:type="dxa"/>
            <w:tcBorders>
              <w:top w:val="nil"/>
              <w:left w:val="single" w:color="auto" w:sz="4" w:space="0"/>
              <w:bottom w:val="single" w:color="auto" w:sz="4" w:space="0"/>
              <w:right w:val="single" w:color="auto" w:sz="4" w:space="0"/>
            </w:tcBorders>
            <w:noWrap w:val="0"/>
            <w:vAlign w:val="center"/>
          </w:tcPr>
          <w:p w14:paraId="299C706F">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14</w:t>
            </w:r>
          </w:p>
        </w:tc>
        <w:tc>
          <w:tcPr>
            <w:tcW w:w="1757" w:type="dxa"/>
            <w:tcBorders>
              <w:top w:val="nil"/>
              <w:left w:val="nil"/>
              <w:bottom w:val="single" w:color="auto" w:sz="4" w:space="0"/>
              <w:right w:val="single" w:color="auto" w:sz="4" w:space="0"/>
            </w:tcBorders>
            <w:noWrap w:val="0"/>
            <w:vAlign w:val="center"/>
          </w:tcPr>
          <w:p w14:paraId="04E7F8D7">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负责机关大院内办用房的基建、管理、调配、维护、维修</w:t>
            </w:r>
          </w:p>
        </w:tc>
        <w:tc>
          <w:tcPr>
            <w:tcW w:w="783" w:type="dxa"/>
            <w:tcBorders>
              <w:top w:val="nil"/>
              <w:left w:val="nil"/>
              <w:bottom w:val="single" w:color="auto" w:sz="4" w:space="0"/>
              <w:right w:val="single" w:color="auto" w:sz="4" w:space="0"/>
            </w:tcBorders>
            <w:noWrap w:val="0"/>
            <w:vAlign w:val="center"/>
          </w:tcPr>
          <w:p w14:paraId="7AE05B21">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nil"/>
              <w:left w:val="nil"/>
              <w:bottom w:val="single" w:color="auto" w:sz="4" w:space="0"/>
              <w:right w:val="single" w:color="auto" w:sz="4" w:space="0"/>
            </w:tcBorders>
            <w:noWrap w:val="0"/>
            <w:vAlign w:val="center"/>
          </w:tcPr>
          <w:p w14:paraId="026AA7C0">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xml:space="preserve">   《中共武平县委办公室 武平县人民政府办公室关于印发〈武平县人民政府办公室职能配置、内设机构和人员编制规定〉的通知》(武委办发〔2019〕16号)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府保卫股）。负责机关大院内办用房的基建、管理、调配、维护、维修。</w:t>
            </w:r>
          </w:p>
        </w:tc>
        <w:tc>
          <w:tcPr>
            <w:tcW w:w="850" w:type="dxa"/>
            <w:tcBorders>
              <w:top w:val="nil"/>
              <w:left w:val="nil"/>
              <w:bottom w:val="single" w:color="auto" w:sz="4" w:space="0"/>
              <w:right w:val="single" w:color="auto" w:sz="4" w:space="0"/>
            </w:tcBorders>
            <w:noWrap w:val="0"/>
            <w:vAlign w:val="center"/>
          </w:tcPr>
          <w:p w14:paraId="0E1C9C47">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nil"/>
              <w:left w:val="nil"/>
              <w:bottom w:val="single" w:color="auto" w:sz="4" w:space="0"/>
              <w:right w:val="single" w:color="auto" w:sz="4" w:space="0"/>
            </w:tcBorders>
            <w:noWrap w:val="0"/>
            <w:vAlign w:val="center"/>
          </w:tcPr>
          <w:p w14:paraId="3CE9BE19">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nil"/>
              <w:left w:val="nil"/>
              <w:bottom w:val="single" w:color="auto" w:sz="4" w:space="0"/>
              <w:right w:val="single" w:color="auto" w:sz="4" w:space="0"/>
            </w:tcBorders>
            <w:noWrap w:val="0"/>
            <w:vAlign w:val="center"/>
          </w:tcPr>
          <w:p w14:paraId="107B0E7D">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nil"/>
              <w:left w:val="nil"/>
              <w:bottom w:val="single" w:color="auto" w:sz="4" w:space="0"/>
              <w:right w:val="single" w:color="auto" w:sz="4" w:space="0"/>
            </w:tcBorders>
            <w:noWrap w:val="0"/>
            <w:vAlign w:val="center"/>
          </w:tcPr>
          <w:p w14:paraId="03FD6232">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r>
      <w:tr w14:paraId="57AE185D">
        <w:tblPrEx>
          <w:tblCellMar>
            <w:top w:w="0" w:type="dxa"/>
            <w:left w:w="108" w:type="dxa"/>
            <w:bottom w:w="0" w:type="dxa"/>
            <w:right w:w="108" w:type="dxa"/>
          </w:tblCellMar>
        </w:tblPrEx>
        <w:trPr>
          <w:trHeight w:val="1200"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44CD5BD5">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15</w:t>
            </w:r>
          </w:p>
        </w:tc>
        <w:tc>
          <w:tcPr>
            <w:tcW w:w="1757" w:type="dxa"/>
            <w:tcBorders>
              <w:top w:val="single" w:color="auto" w:sz="4" w:space="0"/>
              <w:left w:val="single" w:color="auto" w:sz="4" w:space="0"/>
              <w:bottom w:val="single" w:color="auto" w:sz="4" w:space="0"/>
              <w:right w:val="single" w:color="auto" w:sz="4" w:space="0"/>
            </w:tcBorders>
            <w:noWrap w:val="0"/>
            <w:vAlign w:val="center"/>
          </w:tcPr>
          <w:p w14:paraId="06146150">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负责县委县政府机关大院的物业管理（含楼体、设施设备、绿化、保洁、车辆、安全保卫与消防等）</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62312C52">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single" w:color="auto" w:sz="4" w:space="0"/>
              <w:left w:val="single" w:color="auto" w:sz="4" w:space="0"/>
              <w:bottom w:val="single" w:color="auto" w:sz="4" w:space="0"/>
              <w:right w:val="single" w:color="auto" w:sz="4" w:space="0"/>
            </w:tcBorders>
            <w:noWrap w:val="0"/>
            <w:vAlign w:val="center"/>
          </w:tcPr>
          <w:p w14:paraId="03C6DF50">
            <w:pPr>
              <w:widowControl/>
              <w:spacing w:line="280" w:lineRule="exact"/>
              <w:ind w:firstLine="480"/>
              <w:jc w:val="left"/>
              <w:rPr>
                <w:rFonts w:hint="eastAsia" w:ascii="仿宋_GB2312" w:hAnsi="宋体" w:cs="宋体"/>
                <w:kern w:val="0"/>
                <w:sz w:val="21"/>
                <w:szCs w:val="21"/>
              </w:rPr>
            </w:pPr>
            <w:r>
              <w:rPr>
                <w:rFonts w:hint="eastAsia" w:ascii="仿宋_GB2312" w:hAnsi="宋体" w:cs="宋体"/>
                <w:kern w:val="0"/>
                <w:sz w:val="21"/>
                <w:szCs w:val="21"/>
              </w:rPr>
              <w:t>《中共武平县委办公室 武平县人民政府办公室关于印发〈武平县人民政府办公室职能配置、内设机构和人员编制规定〉的通知》(武委办发〔2019〕16号)</w:t>
            </w:r>
            <w:r>
              <w:rPr>
                <w:rFonts w:hint="eastAsia" w:ascii="仿宋_GB2312" w:hAnsi="宋体" w:cs="宋体"/>
                <w:kern w:val="0"/>
                <w:sz w:val="21"/>
                <w:szCs w:val="21"/>
              </w:rPr>
              <w:br w:type="page"/>
            </w:r>
            <w:r>
              <w:rPr>
                <w:rFonts w:hint="eastAsia" w:ascii="仿宋_GB2312" w:hAnsi="宋体" w:cs="宋体"/>
                <w:kern w:val="0"/>
                <w:sz w:val="21"/>
                <w:szCs w:val="21"/>
              </w:rPr>
              <w:t xml:space="preserve">    </w:t>
            </w:r>
          </w:p>
          <w:p w14:paraId="613EB2C6">
            <w:pPr>
              <w:widowControl/>
              <w:spacing w:line="280" w:lineRule="exact"/>
              <w:ind w:firstLine="480"/>
              <w:jc w:val="left"/>
              <w:rPr>
                <w:rFonts w:hint="eastAsia" w:ascii="仿宋_GB2312" w:hAnsi="宋体" w:cs="宋体"/>
                <w:kern w:val="0"/>
                <w:sz w:val="21"/>
                <w:szCs w:val="21"/>
              </w:rPr>
            </w:pPr>
            <w:r>
              <w:rPr>
                <w:rFonts w:hint="eastAsia" w:ascii="仿宋_GB2312" w:hAnsi="宋体" w:cs="宋体"/>
                <w:kern w:val="0"/>
                <w:sz w:val="21"/>
                <w:szCs w:val="21"/>
              </w:rPr>
              <w:t>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府保卫股）。负责县委县政府机关大院的物业管理（含楼体、设施设备、绿化、保洁、车辆、安全保卫与消防等）。</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6821704">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C83B697">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121F887">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EAF0CCA">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r>
      <w:tr w14:paraId="37260D1F">
        <w:tblPrEx>
          <w:tblCellMar>
            <w:top w:w="0" w:type="dxa"/>
            <w:left w:w="108" w:type="dxa"/>
            <w:bottom w:w="0" w:type="dxa"/>
            <w:right w:w="108" w:type="dxa"/>
          </w:tblCellMar>
        </w:tblPrEx>
        <w:trPr>
          <w:trHeight w:val="1679"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3E540938">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16</w:t>
            </w:r>
          </w:p>
        </w:tc>
        <w:tc>
          <w:tcPr>
            <w:tcW w:w="1757" w:type="dxa"/>
            <w:tcBorders>
              <w:top w:val="single" w:color="auto" w:sz="4" w:space="0"/>
              <w:left w:val="nil"/>
              <w:bottom w:val="single" w:color="auto" w:sz="4" w:space="0"/>
              <w:right w:val="single" w:color="auto" w:sz="4" w:space="0"/>
            </w:tcBorders>
            <w:noWrap w:val="0"/>
            <w:vAlign w:val="center"/>
          </w:tcPr>
          <w:p w14:paraId="4035A5EE">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负责县委、县政府机关大院会议室的管理服务工作</w:t>
            </w:r>
          </w:p>
        </w:tc>
        <w:tc>
          <w:tcPr>
            <w:tcW w:w="783" w:type="dxa"/>
            <w:tcBorders>
              <w:top w:val="single" w:color="auto" w:sz="4" w:space="0"/>
              <w:left w:val="nil"/>
              <w:bottom w:val="single" w:color="auto" w:sz="4" w:space="0"/>
              <w:right w:val="single" w:color="auto" w:sz="4" w:space="0"/>
            </w:tcBorders>
            <w:noWrap w:val="0"/>
            <w:vAlign w:val="center"/>
          </w:tcPr>
          <w:p w14:paraId="634855EB">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322A9501">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xml:space="preserve">    《中共武平县委办公室 武平县人民政府办公室关于印发〈武平县人民政府办公室职能配置、内设机构和人员编制规定〉的通知》(武委办发〔2019〕16号)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府保卫股）。负责县委、县政府机关大院会议室的管理服务工作。</w:t>
            </w:r>
          </w:p>
        </w:tc>
        <w:tc>
          <w:tcPr>
            <w:tcW w:w="850" w:type="dxa"/>
            <w:tcBorders>
              <w:top w:val="single" w:color="auto" w:sz="4" w:space="0"/>
              <w:left w:val="nil"/>
              <w:bottom w:val="single" w:color="auto" w:sz="4" w:space="0"/>
              <w:right w:val="single" w:color="auto" w:sz="4" w:space="0"/>
            </w:tcBorders>
            <w:noWrap w:val="0"/>
            <w:vAlign w:val="center"/>
          </w:tcPr>
          <w:p w14:paraId="5049F422">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single" w:color="auto" w:sz="4" w:space="0"/>
              <w:left w:val="nil"/>
              <w:bottom w:val="single" w:color="auto" w:sz="4" w:space="0"/>
              <w:right w:val="single" w:color="auto" w:sz="4" w:space="0"/>
            </w:tcBorders>
            <w:noWrap w:val="0"/>
            <w:vAlign w:val="center"/>
          </w:tcPr>
          <w:p w14:paraId="006D2FF6">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single" w:color="auto" w:sz="4" w:space="0"/>
              <w:left w:val="nil"/>
              <w:bottom w:val="single" w:color="auto" w:sz="4" w:space="0"/>
              <w:right w:val="single" w:color="auto" w:sz="4" w:space="0"/>
            </w:tcBorders>
            <w:noWrap w:val="0"/>
            <w:vAlign w:val="center"/>
          </w:tcPr>
          <w:p w14:paraId="42BBD14A">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single" w:color="auto" w:sz="4" w:space="0"/>
              <w:left w:val="nil"/>
              <w:bottom w:val="single" w:color="auto" w:sz="4" w:space="0"/>
              <w:right w:val="single" w:color="auto" w:sz="4" w:space="0"/>
            </w:tcBorders>
            <w:noWrap w:val="0"/>
            <w:vAlign w:val="center"/>
          </w:tcPr>
          <w:p w14:paraId="3F4BCA6A">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r>
      <w:tr w14:paraId="2CE2D347">
        <w:tblPrEx>
          <w:tblCellMar>
            <w:top w:w="0" w:type="dxa"/>
            <w:left w:w="108" w:type="dxa"/>
            <w:bottom w:w="0" w:type="dxa"/>
            <w:right w:w="108" w:type="dxa"/>
          </w:tblCellMar>
        </w:tblPrEx>
        <w:trPr>
          <w:trHeight w:val="1773" w:hRule="atLeast"/>
        </w:trPr>
        <w:tc>
          <w:tcPr>
            <w:tcW w:w="622" w:type="dxa"/>
            <w:tcBorders>
              <w:top w:val="nil"/>
              <w:left w:val="single" w:color="auto" w:sz="4" w:space="0"/>
              <w:bottom w:val="single" w:color="auto" w:sz="4" w:space="0"/>
              <w:right w:val="single" w:color="auto" w:sz="4" w:space="0"/>
            </w:tcBorders>
            <w:noWrap w:val="0"/>
            <w:vAlign w:val="center"/>
          </w:tcPr>
          <w:p w14:paraId="524F2150">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17</w:t>
            </w:r>
          </w:p>
        </w:tc>
        <w:tc>
          <w:tcPr>
            <w:tcW w:w="1757" w:type="dxa"/>
            <w:tcBorders>
              <w:top w:val="nil"/>
              <w:left w:val="nil"/>
              <w:bottom w:val="single" w:color="auto" w:sz="4" w:space="0"/>
              <w:right w:val="single" w:color="auto" w:sz="4" w:space="0"/>
            </w:tcBorders>
            <w:noWrap w:val="0"/>
            <w:vAlign w:val="center"/>
          </w:tcPr>
          <w:p w14:paraId="1B85BC45">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负责做好县委县政府机关大院群众上访的维稳工作</w:t>
            </w:r>
          </w:p>
        </w:tc>
        <w:tc>
          <w:tcPr>
            <w:tcW w:w="783" w:type="dxa"/>
            <w:tcBorders>
              <w:top w:val="nil"/>
              <w:left w:val="nil"/>
              <w:bottom w:val="single" w:color="auto" w:sz="4" w:space="0"/>
              <w:right w:val="single" w:color="auto" w:sz="4" w:space="0"/>
            </w:tcBorders>
            <w:noWrap w:val="0"/>
            <w:vAlign w:val="center"/>
          </w:tcPr>
          <w:p w14:paraId="22A60AAA">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nil"/>
              <w:left w:val="nil"/>
              <w:bottom w:val="single" w:color="auto" w:sz="4" w:space="0"/>
              <w:right w:val="single" w:color="auto" w:sz="4" w:space="0"/>
            </w:tcBorders>
            <w:noWrap w:val="0"/>
            <w:vAlign w:val="center"/>
          </w:tcPr>
          <w:p w14:paraId="3E2E6C7C">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xml:space="preserve">    《中共武平县委办公室 武平县人民政府办公室关于印发〈武平县人民政府办公室职能配置、内设机构和人员编制规定〉的通知》(武委办发〔2019〕16号)</w:t>
            </w:r>
            <w:r>
              <w:rPr>
                <w:rFonts w:hint="eastAsia" w:ascii="仿宋_GB2312" w:hAnsi="宋体" w:cs="宋体"/>
                <w:kern w:val="0"/>
                <w:sz w:val="21"/>
                <w:szCs w:val="21"/>
              </w:rPr>
              <w:br w:type="textWrapping"/>
            </w:r>
            <w:r>
              <w:rPr>
                <w:rFonts w:hint="eastAsia" w:ascii="仿宋_GB2312" w:hAnsi="宋体" w:cs="宋体"/>
                <w:kern w:val="0"/>
                <w:sz w:val="21"/>
                <w:szCs w:val="21"/>
              </w:rPr>
              <w:t xml:space="preserve">    第五条（十五）机关事务管理股（县委县</w:t>
            </w:r>
            <w:r>
              <w:rPr>
                <w:rFonts w:hint="eastAsia" w:ascii="仿宋_GB2312" w:hAnsi="宋体" w:cs="宋体"/>
                <w:color w:val="000000"/>
                <w:kern w:val="0"/>
                <w:sz w:val="21"/>
                <w:szCs w:val="21"/>
                <w:lang w:eastAsia="zh-CN"/>
              </w:rPr>
              <w:t>政</w:t>
            </w:r>
            <w:r>
              <w:rPr>
                <w:rFonts w:hint="eastAsia" w:ascii="仿宋_GB2312" w:hAnsi="宋体" w:cs="宋体"/>
                <w:kern w:val="0"/>
                <w:sz w:val="21"/>
                <w:szCs w:val="21"/>
              </w:rPr>
              <w:t>府保卫股）。负责做好县委县政府机关大院群众上访的维稳工作。</w:t>
            </w:r>
          </w:p>
        </w:tc>
        <w:tc>
          <w:tcPr>
            <w:tcW w:w="850" w:type="dxa"/>
            <w:tcBorders>
              <w:top w:val="nil"/>
              <w:left w:val="nil"/>
              <w:bottom w:val="single" w:color="auto" w:sz="4" w:space="0"/>
              <w:right w:val="single" w:color="auto" w:sz="4" w:space="0"/>
            </w:tcBorders>
            <w:noWrap w:val="0"/>
            <w:vAlign w:val="center"/>
          </w:tcPr>
          <w:p w14:paraId="5553A1A8">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nil"/>
              <w:left w:val="nil"/>
              <w:bottom w:val="single" w:color="auto" w:sz="4" w:space="0"/>
              <w:right w:val="single" w:color="auto" w:sz="4" w:space="0"/>
            </w:tcBorders>
            <w:noWrap w:val="0"/>
            <w:vAlign w:val="center"/>
          </w:tcPr>
          <w:p w14:paraId="6653BDB7">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nil"/>
              <w:left w:val="nil"/>
              <w:bottom w:val="single" w:color="auto" w:sz="4" w:space="0"/>
              <w:right w:val="single" w:color="auto" w:sz="4" w:space="0"/>
            </w:tcBorders>
            <w:noWrap w:val="0"/>
            <w:vAlign w:val="center"/>
          </w:tcPr>
          <w:p w14:paraId="088EBC04">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nil"/>
              <w:left w:val="nil"/>
              <w:bottom w:val="single" w:color="auto" w:sz="4" w:space="0"/>
              <w:right w:val="single" w:color="auto" w:sz="4" w:space="0"/>
            </w:tcBorders>
            <w:noWrap w:val="0"/>
            <w:vAlign w:val="center"/>
          </w:tcPr>
          <w:p w14:paraId="27505A8A">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r>
      <w:tr w14:paraId="1D21CD80">
        <w:tblPrEx>
          <w:tblCellMar>
            <w:top w:w="0" w:type="dxa"/>
            <w:left w:w="108" w:type="dxa"/>
            <w:bottom w:w="0" w:type="dxa"/>
            <w:right w:w="108" w:type="dxa"/>
          </w:tblCellMar>
        </w:tblPrEx>
        <w:trPr>
          <w:trHeight w:val="1932"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16A27591">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18</w:t>
            </w:r>
          </w:p>
        </w:tc>
        <w:tc>
          <w:tcPr>
            <w:tcW w:w="1757" w:type="dxa"/>
            <w:tcBorders>
              <w:top w:val="single" w:color="auto" w:sz="4" w:space="0"/>
              <w:left w:val="nil"/>
              <w:bottom w:val="single" w:color="auto" w:sz="4" w:space="0"/>
              <w:right w:val="single" w:color="auto" w:sz="4" w:space="0"/>
            </w:tcBorders>
            <w:noWrap w:val="0"/>
            <w:vAlign w:val="center"/>
          </w:tcPr>
          <w:p w14:paraId="75360DB7">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负责处理发生在县委县政府机关大院范围内的各种妨碍治安的突发事件</w:t>
            </w:r>
          </w:p>
        </w:tc>
        <w:tc>
          <w:tcPr>
            <w:tcW w:w="783" w:type="dxa"/>
            <w:tcBorders>
              <w:top w:val="single" w:color="auto" w:sz="4" w:space="0"/>
              <w:left w:val="nil"/>
              <w:bottom w:val="single" w:color="auto" w:sz="4" w:space="0"/>
              <w:right w:val="single" w:color="auto" w:sz="4" w:space="0"/>
            </w:tcBorders>
            <w:noWrap w:val="0"/>
            <w:vAlign w:val="center"/>
          </w:tcPr>
          <w:p w14:paraId="0E419CCC">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1293908D">
            <w:pPr>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xml:space="preserve">    《中共武平县委办公室 武平县人民政府办公室关于印发〈武平县人民政府办公室职能配置、内设机构和人员编制规定〉的通知》(武委办发〔2019〕16号)</w:t>
            </w:r>
            <w:r>
              <w:rPr>
                <w:rFonts w:hint="eastAsia" w:ascii="仿宋_GB2312" w:hAnsi="宋体" w:cs="宋体"/>
                <w:color w:val="000000"/>
                <w:kern w:val="0"/>
                <w:sz w:val="21"/>
                <w:szCs w:val="21"/>
              </w:rPr>
              <w:br w:type="textWrapping"/>
            </w:r>
            <w:r>
              <w:rPr>
                <w:rFonts w:hint="eastAsia" w:ascii="仿宋_GB2312" w:hAnsi="宋体" w:cs="宋体"/>
                <w:color w:val="000000"/>
                <w:kern w:val="0"/>
                <w:sz w:val="21"/>
                <w:szCs w:val="21"/>
              </w:rPr>
              <w:t xml:space="preserve">    第五条（十五）机关事务管理股（县委县</w:t>
            </w:r>
            <w:r>
              <w:rPr>
                <w:rFonts w:hint="eastAsia" w:ascii="仿宋_GB2312" w:hAnsi="宋体" w:cs="宋体"/>
                <w:color w:val="000000"/>
                <w:kern w:val="0"/>
                <w:sz w:val="21"/>
                <w:szCs w:val="21"/>
                <w:lang w:eastAsia="zh-CN"/>
              </w:rPr>
              <w:t>政</w:t>
            </w:r>
            <w:bookmarkStart w:id="0" w:name="_GoBack"/>
            <w:bookmarkEnd w:id="0"/>
            <w:r>
              <w:rPr>
                <w:rFonts w:hint="eastAsia" w:ascii="仿宋_GB2312" w:hAnsi="宋体" w:cs="宋体"/>
                <w:color w:val="000000"/>
                <w:kern w:val="0"/>
                <w:sz w:val="21"/>
                <w:szCs w:val="21"/>
              </w:rPr>
              <w:t>府保卫股）。负责做好县委县政府机关大院群众上访的维稳工作。</w:t>
            </w:r>
          </w:p>
        </w:tc>
        <w:tc>
          <w:tcPr>
            <w:tcW w:w="850" w:type="dxa"/>
            <w:tcBorders>
              <w:top w:val="single" w:color="auto" w:sz="4" w:space="0"/>
              <w:left w:val="nil"/>
              <w:bottom w:val="single" w:color="auto" w:sz="4" w:space="0"/>
              <w:right w:val="single" w:color="auto" w:sz="4" w:space="0"/>
            </w:tcBorders>
            <w:noWrap w:val="0"/>
            <w:vAlign w:val="center"/>
          </w:tcPr>
          <w:p w14:paraId="500FD9C6">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其他权责事项</w:t>
            </w:r>
          </w:p>
        </w:tc>
        <w:tc>
          <w:tcPr>
            <w:tcW w:w="1701" w:type="dxa"/>
            <w:tcBorders>
              <w:top w:val="single" w:color="auto" w:sz="4" w:space="0"/>
              <w:left w:val="nil"/>
              <w:bottom w:val="single" w:color="auto" w:sz="4" w:space="0"/>
              <w:right w:val="single" w:color="auto" w:sz="4" w:space="0"/>
            </w:tcBorders>
            <w:noWrap w:val="0"/>
            <w:vAlign w:val="center"/>
          </w:tcPr>
          <w:p w14:paraId="6776E2E8">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机关事务管理股、机关事务服务中心</w:t>
            </w:r>
          </w:p>
        </w:tc>
        <w:tc>
          <w:tcPr>
            <w:tcW w:w="851" w:type="dxa"/>
            <w:tcBorders>
              <w:top w:val="single" w:color="auto" w:sz="4" w:space="0"/>
              <w:left w:val="nil"/>
              <w:bottom w:val="single" w:color="auto" w:sz="4" w:space="0"/>
              <w:right w:val="single" w:color="auto" w:sz="4" w:space="0"/>
            </w:tcBorders>
            <w:noWrap w:val="0"/>
            <w:vAlign w:val="center"/>
          </w:tcPr>
          <w:p w14:paraId="292B6B3C">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县级</w:t>
            </w:r>
          </w:p>
        </w:tc>
        <w:tc>
          <w:tcPr>
            <w:tcW w:w="788" w:type="dxa"/>
            <w:tcBorders>
              <w:top w:val="single" w:color="auto" w:sz="4" w:space="0"/>
              <w:left w:val="nil"/>
              <w:bottom w:val="single" w:color="auto" w:sz="4" w:space="0"/>
              <w:right w:val="single" w:color="auto" w:sz="4" w:space="0"/>
            </w:tcBorders>
            <w:noWrap w:val="0"/>
            <w:vAlign w:val="center"/>
          </w:tcPr>
          <w:p w14:paraId="7A47C447">
            <w:pPr>
              <w:widowControl/>
              <w:spacing w:line="280" w:lineRule="exact"/>
              <w:jc w:val="left"/>
              <w:rPr>
                <w:rFonts w:hint="eastAsia" w:ascii="仿宋_GB2312" w:hAnsi="宋体" w:cs="宋体"/>
                <w:kern w:val="0"/>
                <w:sz w:val="21"/>
                <w:szCs w:val="21"/>
              </w:rPr>
            </w:pPr>
            <w:r>
              <w:rPr>
                <w:rFonts w:hint="eastAsia" w:ascii="仿宋_GB2312" w:hAnsi="宋体" w:cs="宋体"/>
                <w:kern w:val="0"/>
                <w:sz w:val="21"/>
                <w:szCs w:val="21"/>
              </w:rPr>
              <w:t>　</w:t>
            </w:r>
          </w:p>
        </w:tc>
      </w:tr>
      <w:tr w14:paraId="0053E639">
        <w:tblPrEx>
          <w:tblCellMar>
            <w:top w:w="0" w:type="dxa"/>
            <w:left w:w="108" w:type="dxa"/>
            <w:bottom w:w="0" w:type="dxa"/>
            <w:right w:w="108" w:type="dxa"/>
          </w:tblCellMar>
        </w:tblPrEx>
        <w:trPr>
          <w:trHeight w:val="1848"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1FB34F29">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19</w:t>
            </w:r>
          </w:p>
        </w:tc>
        <w:tc>
          <w:tcPr>
            <w:tcW w:w="1757" w:type="dxa"/>
            <w:tcBorders>
              <w:top w:val="single" w:color="auto" w:sz="4" w:space="0"/>
              <w:left w:val="single" w:color="auto" w:sz="4" w:space="0"/>
              <w:bottom w:val="single" w:color="auto" w:sz="4" w:space="0"/>
              <w:right w:val="single" w:color="auto" w:sz="4" w:space="0"/>
            </w:tcBorders>
            <w:noWrap w:val="0"/>
            <w:vAlign w:val="center"/>
          </w:tcPr>
          <w:p w14:paraId="33C3EB4E">
            <w:pPr>
              <w:spacing w:line="280" w:lineRule="exact"/>
              <w:jc w:val="left"/>
              <w:rPr>
                <w:rFonts w:ascii="仿宋_GB2312" w:hAnsi="宋体" w:cs="宋体"/>
                <w:color w:val="000000"/>
                <w:kern w:val="0"/>
                <w:sz w:val="21"/>
                <w:szCs w:val="21"/>
              </w:rPr>
            </w:pPr>
            <w:r>
              <w:rPr>
                <w:rFonts w:hint="eastAsia" w:ascii="仿宋_GB2312" w:hAnsi="宋体" w:cs="宋体"/>
                <w:color w:val="000000"/>
                <w:kern w:val="0"/>
                <w:sz w:val="21"/>
                <w:szCs w:val="21"/>
              </w:rPr>
              <w:t>承担中共武平县委外事工作委员会办公室日常工作</w:t>
            </w:r>
          </w:p>
        </w:tc>
        <w:tc>
          <w:tcPr>
            <w:tcW w:w="783" w:type="dxa"/>
            <w:tcBorders>
              <w:top w:val="single" w:color="auto" w:sz="4" w:space="0"/>
              <w:left w:val="single" w:color="auto" w:sz="4" w:space="0"/>
              <w:bottom w:val="single" w:color="auto" w:sz="4" w:space="0"/>
              <w:right w:val="single" w:color="auto" w:sz="4" w:space="0"/>
            </w:tcBorders>
            <w:noWrap/>
            <w:vAlign w:val="center"/>
          </w:tcPr>
          <w:p w14:paraId="304559BC">
            <w:pPr>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6351" w:type="dxa"/>
            <w:tcBorders>
              <w:top w:val="single" w:color="auto" w:sz="4" w:space="0"/>
              <w:left w:val="single" w:color="auto" w:sz="4" w:space="0"/>
              <w:bottom w:val="single" w:color="auto" w:sz="4" w:space="0"/>
              <w:right w:val="single" w:color="auto" w:sz="4" w:space="0"/>
            </w:tcBorders>
            <w:noWrap w:val="0"/>
            <w:vAlign w:val="center"/>
          </w:tcPr>
          <w:p w14:paraId="0D2D40EA">
            <w:pPr>
              <w:spacing w:line="280" w:lineRule="exact"/>
              <w:ind w:firstLine="420" w:firstLineChars="200"/>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《中共武平县委办公室 武平县人民政府办公室关于印发〈武平县人民政府办公室职能配置、内设机构和人员编制规定〉的通知》(武委办发〔2019〕16号)</w:t>
            </w:r>
          </w:p>
          <w:p w14:paraId="642D964F">
            <w:pPr>
              <w:spacing w:line="280" w:lineRule="exact"/>
              <w:ind w:firstLine="420" w:firstLineChars="200"/>
              <w:jc w:val="left"/>
              <w:rPr>
                <w:rFonts w:hint="eastAsia" w:ascii="仿宋_GB2312" w:hAnsi="宋体" w:cs="宋体"/>
                <w:kern w:val="0"/>
                <w:sz w:val="21"/>
                <w:szCs w:val="21"/>
              </w:rPr>
            </w:pPr>
            <w:r>
              <w:rPr>
                <w:rFonts w:hint="eastAsia" w:ascii="仿宋_GB2312" w:hAnsi="宋体" w:cs="宋体"/>
                <w:kern w:val="0"/>
                <w:sz w:val="21"/>
                <w:szCs w:val="21"/>
              </w:rPr>
              <w:t>第三条：设立县委外办秘书股，负责处理县委外办日常事务。</w:t>
            </w:r>
          </w:p>
          <w:p w14:paraId="1A969198">
            <w:pPr>
              <w:spacing w:line="280" w:lineRule="exact"/>
              <w:ind w:firstLine="420" w:firstLineChars="200"/>
              <w:jc w:val="left"/>
              <w:rPr>
                <w:rFonts w:hint="eastAsia" w:ascii="仿宋_GB2312" w:hAnsi="宋体" w:cs="宋体"/>
                <w:color w:val="000000"/>
                <w:kern w:val="0"/>
                <w:sz w:val="21"/>
                <w:szCs w:val="21"/>
              </w:rPr>
            </w:pPr>
            <w:r>
              <w:rPr>
                <w:rFonts w:hint="eastAsia" w:ascii="仿宋_GB2312" w:hAnsi="宋体" w:cs="宋体"/>
                <w:kern w:val="0"/>
                <w:sz w:val="21"/>
                <w:szCs w:val="21"/>
              </w:rPr>
              <w:t>贯彻执行党中央、国务院和省、市</w:t>
            </w:r>
            <w:r>
              <w:rPr>
                <w:rFonts w:hint="eastAsia" w:ascii="仿宋_GB2312" w:hAnsi="宋体" w:cs="宋体"/>
                <w:color w:val="000000"/>
                <w:kern w:val="0"/>
                <w:sz w:val="21"/>
                <w:szCs w:val="21"/>
              </w:rPr>
              <w:t>关于香港、澳门的工作方针政策和法律法规。</w:t>
            </w:r>
          </w:p>
        </w:tc>
        <w:tc>
          <w:tcPr>
            <w:tcW w:w="850" w:type="dxa"/>
            <w:tcBorders>
              <w:top w:val="single" w:color="auto" w:sz="4" w:space="0"/>
              <w:left w:val="single" w:color="auto" w:sz="4" w:space="0"/>
              <w:bottom w:val="single" w:color="auto" w:sz="4" w:space="0"/>
              <w:right w:val="single" w:color="auto" w:sz="4" w:space="0"/>
            </w:tcBorders>
            <w:noWrap/>
            <w:vAlign w:val="center"/>
          </w:tcPr>
          <w:p w14:paraId="31843022">
            <w:pPr>
              <w:widowControl/>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其他权责事项</w:t>
            </w:r>
          </w:p>
        </w:tc>
        <w:tc>
          <w:tcPr>
            <w:tcW w:w="1701" w:type="dxa"/>
            <w:tcBorders>
              <w:top w:val="single" w:color="auto" w:sz="4" w:space="0"/>
              <w:left w:val="single" w:color="auto" w:sz="4" w:space="0"/>
              <w:bottom w:val="single" w:color="auto" w:sz="4" w:space="0"/>
              <w:right w:val="single" w:color="auto" w:sz="4" w:space="0"/>
            </w:tcBorders>
            <w:noWrap/>
            <w:vAlign w:val="center"/>
          </w:tcPr>
          <w:p w14:paraId="6BCBD67C">
            <w:pPr>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外事和港澳股</w:t>
            </w:r>
          </w:p>
        </w:tc>
        <w:tc>
          <w:tcPr>
            <w:tcW w:w="851" w:type="dxa"/>
            <w:tcBorders>
              <w:top w:val="single" w:color="auto" w:sz="4" w:space="0"/>
              <w:left w:val="single" w:color="auto" w:sz="4" w:space="0"/>
              <w:bottom w:val="single" w:color="auto" w:sz="4" w:space="0"/>
              <w:right w:val="single" w:color="auto" w:sz="4" w:space="0"/>
            </w:tcBorders>
            <w:noWrap/>
            <w:vAlign w:val="center"/>
          </w:tcPr>
          <w:p w14:paraId="4FF1906B">
            <w:pPr>
              <w:widowControl/>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县级</w:t>
            </w:r>
          </w:p>
        </w:tc>
        <w:tc>
          <w:tcPr>
            <w:tcW w:w="788" w:type="dxa"/>
            <w:tcBorders>
              <w:top w:val="single" w:color="auto" w:sz="4" w:space="0"/>
              <w:left w:val="single" w:color="auto" w:sz="4" w:space="0"/>
              <w:bottom w:val="single" w:color="auto" w:sz="4" w:space="0"/>
              <w:right w:val="single" w:color="auto" w:sz="4" w:space="0"/>
            </w:tcBorders>
            <w:noWrap/>
            <w:vAlign w:val="center"/>
          </w:tcPr>
          <w:p w14:paraId="41759DB1">
            <w:pPr>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066EBEBB">
        <w:tblPrEx>
          <w:tblCellMar>
            <w:top w:w="0" w:type="dxa"/>
            <w:left w:w="108" w:type="dxa"/>
            <w:bottom w:w="0" w:type="dxa"/>
            <w:right w:w="108" w:type="dxa"/>
          </w:tblCellMar>
        </w:tblPrEx>
        <w:trPr>
          <w:trHeight w:val="2850"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672E2155">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20</w:t>
            </w:r>
          </w:p>
        </w:tc>
        <w:tc>
          <w:tcPr>
            <w:tcW w:w="1757" w:type="dxa"/>
            <w:tcBorders>
              <w:top w:val="single" w:color="auto" w:sz="4" w:space="0"/>
              <w:left w:val="nil"/>
              <w:bottom w:val="single" w:color="auto" w:sz="4" w:space="0"/>
              <w:right w:val="single" w:color="auto" w:sz="4" w:space="0"/>
            </w:tcBorders>
            <w:noWrap w:val="0"/>
            <w:vAlign w:val="center"/>
          </w:tcPr>
          <w:p w14:paraId="04765CE0">
            <w:pPr>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承担中共武平县委港澳工作领导小组办公室日常工作</w:t>
            </w:r>
          </w:p>
        </w:tc>
        <w:tc>
          <w:tcPr>
            <w:tcW w:w="783" w:type="dxa"/>
            <w:tcBorders>
              <w:top w:val="single" w:color="auto" w:sz="4" w:space="0"/>
              <w:left w:val="nil"/>
              <w:bottom w:val="single" w:color="auto" w:sz="4" w:space="0"/>
              <w:right w:val="single" w:color="auto" w:sz="4" w:space="0"/>
            </w:tcBorders>
            <w:noWrap/>
            <w:vAlign w:val="center"/>
          </w:tcPr>
          <w:p w14:paraId="02E4834A">
            <w:pPr>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5A4E1147">
            <w:pPr>
              <w:spacing w:line="260" w:lineRule="exact"/>
              <w:ind w:firstLine="420" w:firstLineChars="200"/>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《中共武平县委办公室 武平县人民政府办公室关于印发〈武平县人民政府办公室职能配置、内设机构和人员编制规定〉的通知》(武委办发〔2019〕16号)</w:t>
            </w:r>
            <w:r>
              <w:rPr>
                <w:rFonts w:hint="eastAsia" w:ascii="仿宋_GB2312" w:hAnsi="宋体" w:cs="宋体"/>
                <w:color w:val="000000"/>
                <w:kern w:val="0"/>
                <w:sz w:val="21"/>
                <w:szCs w:val="21"/>
              </w:rPr>
              <w:br w:type="textWrapping"/>
            </w:r>
            <w:r>
              <w:rPr>
                <w:rFonts w:hint="eastAsia" w:ascii="仿宋_GB2312" w:hAnsi="宋体" w:cs="宋体"/>
                <w:color w:val="000000"/>
                <w:kern w:val="0"/>
                <w:sz w:val="21"/>
                <w:szCs w:val="21"/>
              </w:rPr>
              <w:t xml:space="preserve">    负责对港澳宣传、教育、做好涉港澳相关业务培训和思想政治教育、意识形态引导，纠正错误思想和言论；协助管理港澳记者事务、审核涉外涉港澳新闻报道稿件、音像制品和其他出版物，积极对外宣传推介武平。</w:t>
            </w:r>
          </w:p>
          <w:p w14:paraId="28C834EE">
            <w:pPr>
              <w:spacing w:line="260" w:lineRule="exact"/>
              <w:ind w:firstLine="420" w:firstLineChars="200"/>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加强与港澳经贸、文化交流合作，推动形成武平与港澳大交流格局，促进共同发展，推动对港澳招商引资工作，加强对在武港澳资企业的联系、调研、服务工作，推动各项优惠政策法规的贯彻落实；受理港澳同胞捐赠审核管理工作。</w:t>
            </w:r>
          </w:p>
          <w:p w14:paraId="406F653C">
            <w:pPr>
              <w:spacing w:line="260" w:lineRule="exact"/>
              <w:ind w:firstLine="420" w:firstLineChars="200"/>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向县委、县政府领导及有关部门提出意见建议。</w:t>
            </w:r>
          </w:p>
        </w:tc>
        <w:tc>
          <w:tcPr>
            <w:tcW w:w="850" w:type="dxa"/>
            <w:tcBorders>
              <w:top w:val="single" w:color="auto" w:sz="4" w:space="0"/>
              <w:left w:val="nil"/>
              <w:bottom w:val="single" w:color="auto" w:sz="4" w:space="0"/>
              <w:right w:val="single" w:color="auto" w:sz="4" w:space="0"/>
            </w:tcBorders>
            <w:noWrap/>
            <w:vAlign w:val="center"/>
          </w:tcPr>
          <w:p w14:paraId="25FE737E">
            <w:pPr>
              <w:widowControl/>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其他权责事项</w:t>
            </w:r>
          </w:p>
        </w:tc>
        <w:tc>
          <w:tcPr>
            <w:tcW w:w="1701" w:type="dxa"/>
            <w:tcBorders>
              <w:top w:val="single" w:color="auto" w:sz="4" w:space="0"/>
              <w:left w:val="nil"/>
              <w:bottom w:val="single" w:color="auto" w:sz="4" w:space="0"/>
              <w:right w:val="single" w:color="auto" w:sz="4" w:space="0"/>
            </w:tcBorders>
            <w:noWrap/>
            <w:vAlign w:val="center"/>
          </w:tcPr>
          <w:p w14:paraId="0828F9FE">
            <w:pPr>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外事和港澳股</w:t>
            </w:r>
          </w:p>
        </w:tc>
        <w:tc>
          <w:tcPr>
            <w:tcW w:w="851" w:type="dxa"/>
            <w:tcBorders>
              <w:top w:val="single" w:color="auto" w:sz="4" w:space="0"/>
              <w:left w:val="nil"/>
              <w:bottom w:val="single" w:color="auto" w:sz="4" w:space="0"/>
              <w:right w:val="single" w:color="auto" w:sz="4" w:space="0"/>
            </w:tcBorders>
            <w:noWrap/>
            <w:vAlign w:val="center"/>
          </w:tcPr>
          <w:p w14:paraId="50C92C82">
            <w:pPr>
              <w:widowControl/>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县级</w:t>
            </w:r>
          </w:p>
        </w:tc>
        <w:tc>
          <w:tcPr>
            <w:tcW w:w="788" w:type="dxa"/>
            <w:tcBorders>
              <w:top w:val="single" w:color="auto" w:sz="4" w:space="0"/>
              <w:left w:val="nil"/>
              <w:bottom w:val="single" w:color="auto" w:sz="4" w:space="0"/>
              <w:right w:val="single" w:color="auto" w:sz="4" w:space="0"/>
            </w:tcBorders>
            <w:noWrap/>
            <w:vAlign w:val="center"/>
          </w:tcPr>
          <w:p w14:paraId="0B2456C4">
            <w:pPr>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57BD2740">
        <w:tblPrEx>
          <w:tblCellMar>
            <w:top w:w="0" w:type="dxa"/>
            <w:left w:w="108" w:type="dxa"/>
            <w:bottom w:w="0" w:type="dxa"/>
            <w:right w:w="108" w:type="dxa"/>
          </w:tblCellMar>
        </w:tblPrEx>
        <w:trPr>
          <w:trHeight w:val="2443"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58D17BCA">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21</w:t>
            </w:r>
          </w:p>
        </w:tc>
        <w:tc>
          <w:tcPr>
            <w:tcW w:w="1757" w:type="dxa"/>
            <w:tcBorders>
              <w:top w:val="single" w:color="auto" w:sz="4" w:space="0"/>
              <w:left w:val="nil"/>
              <w:bottom w:val="single" w:color="auto" w:sz="4" w:space="0"/>
              <w:right w:val="single" w:color="auto" w:sz="4" w:space="0"/>
            </w:tcBorders>
            <w:noWrap w:val="0"/>
            <w:vAlign w:val="center"/>
          </w:tcPr>
          <w:p w14:paraId="5CB26779">
            <w:pPr>
              <w:keepNext/>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指导和管理民间对外交往，检查各乡镇（街道）、县直各单位贯彻执行对外、港澳工作方针政策和涉外、港澳法规的情况</w:t>
            </w:r>
          </w:p>
        </w:tc>
        <w:tc>
          <w:tcPr>
            <w:tcW w:w="783" w:type="dxa"/>
            <w:tcBorders>
              <w:top w:val="single" w:color="auto" w:sz="4" w:space="0"/>
              <w:left w:val="nil"/>
              <w:bottom w:val="single" w:color="auto" w:sz="4" w:space="0"/>
              <w:right w:val="single" w:color="auto" w:sz="4" w:space="0"/>
            </w:tcBorders>
            <w:noWrap/>
            <w:vAlign w:val="center"/>
          </w:tcPr>
          <w:p w14:paraId="66349F54">
            <w:pPr>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798EE7C3">
            <w:pPr>
              <w:keepNext/>
              <w:widowControl/>
              <w:spacing w:line="280" w:lineRule="exact"/>
              <w:ind w:firstLine="420" w:firstLineChars="200"/>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《中共武平县委办公室 武平县人民政府办公室关于印发〈武平县人民政府办公室职能配置、内设机构和人员编制规定〉的通知》(武委办发〔2019〕16号)</w:t>
            </w:r>
          </w:p>
          <w:p w14:paraId="037D216D">
            <w:pPr>
              <w:keepNext/>
              <w:widowControl/>
              <w:spacing w:line="280" w:lineRule="exact"/>
              <w:ind w:firstLine="420" w:firstLineChars="200"/>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xml:space="preserve"> 第五条（十） 处理或协助处理我县重大外事工作、涉外、涉港澳活动，审核、审批因公临时出国、出境及邀请外国相应人员来访的有关事宜。</w:t>
            </w:r>
          </w:p>
        </w:tc>
        <w:tc>
          <w:tcPr>
            <w:tcW w:w="850" w:type="dxa"/>
            <w:tcBorders>
              <w:top w:val="single" w:color="auto" w:sz="4" w:space="0"/>
              <w:left w:val="nil"/>
              <w:bottom w:val="single" w:color="auto" w:sz="4" w:space="0"/>
              <w:right w:val="single" w:color="auto" w:sz="4" w:space="0"/>
            </w:tcBorders>
            <w:noWrap/>
            <w:vAlign w:val="center"/>
          </w:tcPr>
          <w:p w14:paraId="55E557C1">
            <w:pPr>
              <w:widowControl/>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其他权责事项</w:t>
            </w:r>
          </w:p>
        </w:tc>
        <w:tc>
          <w:tcPr>
            <w:tcW w:w="1701" w:type="dxa"/>
            <w:tcBorders>
              <w:top w:val="single" w:color="auto" w:sz="4" w:space="0"/>
              <w:left w:val="nil"/>
              <w:bottom w:val="single" w:color="auto" w:sz="4" w:space="0"/>
              <w:right w:val="single" w:color="auto" w:sz="4" w:space="0"/>
            </w:tcBorders>
            <w:noWrap/>
            <w:vAlign w:val="center"/>
          </w:tcPr>
          <w:p w14:paraId="5DDB54F8">
            <w:pPr>
              <w:keepNext/>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外事和港澳股</w:t>
            </w:r>
          </w:p>
        </w:tc>
        <w:tc>
          <w:tcPr>
            <w:tcW w:w="851" w:type="dxa"/>
            <w:tcBorders>
              <w:top w:val="single" w:color="auto" w:sz="4" w:space="0"/>
              <w:left w:val="nil"/>
              <w:bottom w:val="single" w:color="auto" w:sz="4" w:space="0"/>
              <w:right w:val="single" w:color="auto" w:sz="4" w:space="0"/>
            </w:tcBorders>
            <w:noWrap/>
            <w:vAlign w:val="center"/>
          </w:tcPr>
          <w:p w14:paraId="6E35B169">
            <w:pPr>
              <w:widowControl/>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县级</w:t>
            </w:r>
          </w:p>
        </w:tc>
        <w:tc>
          <w:tcPr>
            <w:tcW w:w="788" w:type="dxa"/>
            <w:tcBorders>
              <w:top w:val="single" w:color="auto" w:sz="4" w:space="0"/>
              <w:left w:val="nil"/>
              <w:bottom w:val="single" w:color="auto" w:sz="4" w:space="0"/>
              <w:right w:val="single" w:color="auto" w:sz="4" w:space="0"/>
            </w:tcBorders>
            <w:noWrap/>
            <w:vAlign w:val="center"/>
          </w:tcPr>
          <w:p w14:paraId="4E170340">
            <w:pPr>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6F180A08">
        <w:tblPrEx>
          <w:tblCellMar>
            <w:top w:w="0" w:type="dxa"/>
            <w:left w:w="108" w:type="dxa"/>
            <w:bottom w:w="0" w:type="dxa"/>
            <w:right w:w="108" w:type="dxa"/>
          </w:tblCellMar>
        </w:tblPrEx>
        <w:trPr>
          <w:trHeight w:val="1638"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58BDB595">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22</w:t>
            </w:r>
          </w:p>
        </w:tc>
        <w:tc>
          <w:tcPr>
            <w:tcW w:w="1757" w:type="dxa"/>
            <w:tcBorders>
              <w:top w:val="single" w:color="auto" w:sz="4" w:space="0"/>
              <w:left w:val="nil"/>
              <w:bottom w:val="single" w:color="auto" w:sz="4" w:space="0"/>
              <w:right w:val="single" w:color="auto" w:sz="4" w:space="0"/>
            </w:tcBorders>
            <w:noWrap w:val="0"/>
            <w:vAlign w:val="center"/>
          </w:tcPr>
          <w:p w14:paraId="2FBC0948">
            <w:pPr>
              <w:keepNext/>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负责管理、协调、指导全县的外事接待工作</w:t>
            </w:r>
          </w:p>
        </w:tc>
        <w:tc>
          <w:tcPr>
            <w:tcW w:w="783" w:type="dxa"/>
            <w:tcBorders>
              <w:top w:val="single" w:color="auto" w:sz="4" w:space="0"/>
              <w:left w:val="nil"/>
              <w:bottom w:val="single" w:color="auto" w:sz="4" w:space="0"/>
              <w:right w:val="single" w:color="auto" w:sz="4" w:space="0"/>
            </w:tcBorders>
            <w:noWrap/>
            <w:vAlign w:val="center"/>
          </w:tcPr>
          <w:p w14:paraId="70B8F801">
            <w:pPr>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57CDBF01">
            <w:pPr>
              <w:keepNext/>
              <w:widowControl/>
              <w:spacing w:line="280" w:lineRule="exact"/>
              <w:ind w:firstLine="420" w:firstLineChars="200"/>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《中共武平县委办公室 武平县人民政府办公室关于印发〈武平县人民政府办公室职能配置、内设机构和人员编制规定〉的通知》(武委办发〔2019〕16号)</w:t>
            </w:r>
          </w:p>
          <w:p w14:paraId="27A941DF">
            <w:pPr>
              <w:keepNext/>
              <w:widowControl/>
              <w:spacing w:line="280" w:lineRule="exact"/>
              <w:ind w:firstLine="420" w:firstLineChars="200"/>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第五条（十） 负责组织接待来访的外宾。</w:t>
            </w:r>
          </w:p>
        </w:tc>
        <w:tc>
          <w:tcPr>
            <w:tcW w:w="850" w:type="dxa"/>
            <w:tcBorders>
              <w:top w:val="single" w:color="auto" w:sz="4" w:space="0"/>
              <w:left w:val="nil"/>
              <w:bottom w:val="single" w:color="auto" w:sz="4" w:space="0"/>
              <w:right w:val="single" w:color="auto" w:sz="4" w:space="0"/>
            </w:tcBorders>
            <w:noWrap/>
            <w:vAlign w:val="center"/>
          </w:tcPr>
          <w:p w14:paraId="7B2C1891">
            <w:pPr>
              <w:widowControl/>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其他权责事项</w:t>
            </w:r>
          </w:p>
        </w:tc>
        <w:tc>
          <w:tcPr>
            <w:tcW w:w="1701" w:type="dxa"/>
            <w:tcBorders>
              <w:top w:val="single" w:color="auto" w:sz="4" w:space="0"/>
              <w:left w:val="nil"/>
              <w:bottom w:val="single" w:color="auto" w:sz="4" w:space="0"/>
              <w:right w:val="single" w:color="auto" w:sz="4" w:space="0"/>
            </w:tcBorders>
            <w:noWrap/>
            <w:vAlign w:val="center"/>
          </w:tcPr>
          <w:p w14:paraId="66D0071A">
            <w:pPr>
              <w:keepNext/>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外事和港澳股</w:t>
            </w:r>
          </w:p>
        </w:tc>
        <w:tc>
          <w:tcPr>
            <w:tcW w:w="851" w:type="dxa"/>
            <w:tcBorders>
              <w:top w:val="single" w:color="auto" w:sz="4" w:space="0"/>
              <w:left w:val="nil"/>
              <w:bottom w:val="single" w:color="auto" w:sz="4" w:space="0"/>
              <w:right w:val="single" w:color="auto" w:sz="4" w:space="0"/>
            </w:tcBorders>
            <w:noWrap/>
            <w:vAlign w:val="center"/>
          </w:tcPr>
          <w:p w14:paraId="64F58706">
            <w:pPr>
              <w:widowControl/>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县级</w:t>
            </w:r>
          </w:p>
        </w:tc>
        <w:tc>
          <w:tcPr>
            <w:tcW w:w="788" w:type="dxa"/>
            <w:tcBorders>
              <w:top w:val="single" w:color="auto" w:sz="4" w:space="0"/>
              <w:left w:val="nil"/>
              <w:bottom w:val="single" w:color="auto" w:sz="4" w:space="0"/>
              <w:right w:val="single" w:color="auto" w:sz="4" w:space="0"/>
            </w:tcBorders>
            <w:noWrap/>
            <w:vAlign w:val="center"/>
          </w:tcPr>
          <w:p w14:paraId="2407D0EC">
            <w:pPr>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4EFA02DA">
        <w:tblPrEx>
          <w:tblCellMar>
            <w:top w:w="0" w:type="dxa"/>
            <w:left w:w="108" w:type="dxa"/>
            <w:bottom w:w="0" w:type="dxa"/>
            <w:right w:w="108" w:type="dxa"/>
          </w:tblCellMar>
        </w:tblPrEx>
        <w:trPr>
          <w:trHeight w:val="2242" w:hRule="atLeast"/>
        </w:trPr>
        <w:tc>
          <w:tcPr>
            <w:tcW w:w="622" w:type="dxa"/>
            <w:tcBorders>
              <w:top w:val="single" w:color="auto" w:sz="4" w:space="0"/>
              <w:left w:val="single" w:color="auto" w:sz="4" w:space="0"/>
              <w:bottom w:val="single" w:color="auto" w:sz="4" w:space="0"/>
              <w:right w:val="single" w:color="auto" w:sz="4" w:space="0"/>
            </w:tcBorders>
            <w:noWrap w:val="0"/>
            <w:vAlign w:val="center"/>
          </w:tcPr>
          <w:p w14:paraId="08B88E3C">
            <w:pPr>
              <w:widowControl/>
              <w:spacing w:line="280" w:lineRule="exact"/>
              <w:jc w:val="center"/>
              <w:rPr>
                <w:rFonts w:hint="eastAsia" w:ascii="仿宋_GB2312" w:hAnsi="宋体" w:cs="宋体"/>
                <w:kern w:val="0"/>
                <w:sz w:val="21"/>
                <w:szCs w:val="21"/>
              </w:rPr>
            </w:pPr>
            <w:r>
              <w:rPr>
                <w:rFonts w:hint="eastAsia" w:ascii="仿宋_GB2312" w:hAnsi="宋体" w:cs="宋体"/>
                <w:kern w:val="0"/>
                <w:sz w:val="21"/>
                <w:szCs w:val="21"/>
              </w:rPr>
              <w:t>23</w:t>
            </w:r>
          </w:p>
        </w:tc>
        <w:tc>
          <w:tcPr>
            <w:tcW w:w="1757" w:type="dxa"/>
            <w:tcBorders>
              <w:top w:val="single" w:color="auto" w:sz="4" w:space="0"/>
              <w:left w:val="nil"/>
              <w:bottom w:val="single" w:color="auto" w:sz="4" w:space="0"/>
              <w:right w:val="single" w:color="auto" w:sz="4" w:space="0"/>
            </w:tcBorders>
            <w:noWrap w:val="0"/>
            <w:vAlign w:val="center"/>
          </w:tcPr>
          <w:p w14:paraId="7D06C2D1">
            <w:pPr>
              <w:keepNext/>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协调、督促、指导处置全县各类涉外涉港澳突发事件，指导有关部门做好涉外、港澳安全工作</w:t>
            </w:r>
          </w:p>
        </w:tc>
        <w:tc>
          <w:tcPr>
            <w:tcW w:w="783" w:type="dxa"/>
            <w:tcBorders>
              <w:top w:val="single" w:color="auto" w:sz="4" w:space="0"/>
              <w:left w:val="nil"/>
              <w:bottom w:val="single" w:color="auto" w:sz="4" w:space="0"/>
              <w:right w:val="single" w:color="auto" w:sz="4" w:space="0"/>
            </w:tcBorders>
            <w:noWrap/>
            <w:vAlign w:val="center"/>
          </w:tcPr>
          <w:p w14:paraId="7A3C1BEF">
            <w:pPr>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6351" w:type="dxa"/>
            <w:tcBorders>
              <w:top w:val="single" w:color="auto" w:sz="4" w:space="0"/>
              <w:left w:val="nil"/>
              <w:bottom w:val="single" w:color="auto" w:sz="4" w:space="0"/>
              <w:right w:val="single" w:color="auto" w:sz="4" w:space="0"/>
            </w:tcBorders>
            <w:noWrap w:val="0"/>
            <w:vAlign w:val="center"/>
          </w:tcPr>
          <w:p w14:paraId="5BE93EB2">
            <w:pPr>
              <w:keepNext/>
              <w:widowControl/>
              <w:spacing w:line="280" w:lineRule="exact"/>
              <w:ind w:firstLine="420" w:firstLineChars="200"/>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协调、督促、指导处置全县各类涉外、涉港澳重大事件、突发事件，协助司法机关和信访等部门处理矛盾纠纷、信访投诉件，依法维护合法权益。组织、指导与配合有关部门，维护我县机构、人员在海外的安全与合法权益。</w:t>
            </w:r>
          </w:p>
        </w:tc>
        <w:tc>
          <w:tcPr>
            <w:tcW w:w="850" w:type="dxa"/>
            <w:tcBorders>
              <w:top w:val="single" w:color="auto" w:sz="4" w:space="0"/>
              <w:left w:val="nil"/>
              <w:bottom w:val="single" w:color="auto" w:sz="4" w:space="0"/>
              <w:right w:val="single" w:color="auto" w:sz="4" w:space="0"/>
            </w:tcBorders>
            <w:noWrap/>
            <w:vAlign w:val="center"/>
          </w:tcPr>
          <w:p w14:paraId="598310DE">
            <w:pPr>
              <w:widowControl/>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其他权责事项</w:t>
            </w:r>
          </w:p>
        </w:tc>
        <w:tc>
          <w:tcPr>
            <w:tcW w:w="1701" w:type="dxa"/>
            <w:tcBorders>
              <w:top w:val="single" w:color="auto" w:sz="4" w:space="0"/>
              <w:left w:val="nil"/>
              <w:bottom w:val="single" w:color="auto" w:sz="4" w:space="0"/>
              <w:right w:val="single" w:color="auto" w:sz="4" w:space="0"/>
            </w:tcBorders>
            <w:noWrap/>
            <w:vAlign w:val="center"/>
          </w:tcPr>
          <w:p w14:paraId="62C8F98C">
            <w:pPr>
              <w:keepNext/>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外事和港澳股</w:t>
            </w:r>
          </w:p>
        </w:tc>
        <w:tc>
          <w:tcPr>
            <w:tcW w:w="851" w:type="dxa"/>
            <w:tcBorders>
              <w:top w:val="single" w:color="auto" w:sz="4" w:space="0"/>
              <w:left w:val="nil"/>
              <w:bottom w:val="single" w:color="auto" w:sz="4" w:space="0"/>
              <w:right w:val="single" w:color="auto" w:sz="4" w:space="0"/>
            </w:tcBorders>
            <w:noWrap/>
            <w:vAlign w:val="center"/>
          </w:tcPr>
          <w:p w14:paraId="50DA2BCF">
            <w:pPr>
              <w:widowControl/>
              <w:spacing w:line="28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县级</w:t>
            </w:r>
          </w:p>
        </w:tc>
        <w:tc>
          <w:tcPr>
            <w:tcW w:w="788" w:type="dxa"/>
            <w:tcBorders>
              <w:top w:val="single" w:color="auto" w:sz="4" w:space="0"/>
              <w:left w:val="nil"/>
              <w:bottom w:val="single" w:color="auto" w:sz="4" w:space="0"/>
              <w:right w:val="single" w:color="auto" w:sz="4" w:space="0"/>
            </w:tcBorders>
            <w:noWrap/>
            <w:vAlign w:val="center"/>
          </w:tcPr>
          <w:p w14:paraId="39D539CD">
            <w:pPr>
              <w:widowControl/>
              <w:spacing w:line="28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bl>
    <w:p w14:paraId="00E03446"/>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9D40E2"/>
    <w:rsid w:val="11FC1C54"/>
    <w:rsid w:val="4D9D40E2"/>
    <w:rsid w:val="5CE2716D"/>
    <w:rsid w:val="789D4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6117</Words>
  <Characters>6279</Characters>
  <Lines>0</Lines>
  <Paragraphs>0</Paragraphs>
  <TotalTime>2</TotalTime>
  <ScaleCrop>false</ScaleCrop>
  <LinksUpToDate>false</LinksUpToDate>
  <CharactersWithSpaces>6644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2025-08-05T02:02:00Z</dcterms:created>
  <dc:creator>蜡石鹰</dc:creator>
  <cp:lastModifiedBy>蜡石鹰</cp:lastModifiedBy>
  <dcterms:modified xsi:type="dcterms:W3CDTF">2025-08-06T00:57:56Z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C01D71B150D84546B3C6BBF0EFE1D0F7_11</vt:lpwstr>
  </property>
  <property fmtid="{D5CDD505-2E9C-101B-9397-08002B2CF9AE}" pid="4" name="KSOTemplateDocerSaveRecord">
    <vt:lpwstr>eyJoZGlkIjoiMDg2ZTQzZWFiYjAzYzE5MTZiY2I5ZDYyNzlkYjJhZWMiLCJ1c2VySWQiOiIyNjk3MTg3MzAifQ==</vt:lpwstr>
  </property>
</Properties>
</file>